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5"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Monday, December 9, 2019 7:26:00 PM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104937958</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6" w:history="1">
        <w:r>
          <w:rPr>
            <w:rFonts w:ascii="Arial" w:eastAsia="Arial" w:hAnsi="Arial" w:cs="Arial"/>
            <w:color w:val="000000"/>
            <w:sz w:val="20"/>
            <w:u w:val="single"/>
            <w:shd w:val="clear" w:color="auto" w:fill="FFFFFF"/>
            <w:lang w:val="en-US" w:eastAsia="en-US" w:bidi="ar-SA"/>
          </w:rPr>
          <w:t xml:space="preserve"> </w:t>
        </w:r>
      </w:hyperlink>
      <w:hyperlink r:id="rId6" w:history="1">
        <w:r>
          <w:rPr>
            <w:rFonts w:ascii="Arial" w:eastAsia="Arial" w:hAnsi="Arial" w:cs="Arial"/>
            <w:i/>
            <w:color w:val="0077CC"/>
            <w:sz w:val="20"/>
            <w:u w:val="single"/>
            <w:shd w:val="clear" w:color="auto" w:fill="FFFFFF"/>
            <w:lang w:val="en-US" w:eastAsia="en-US" w:bidi="ar-SA"/>
          </w:rPr>
          <w:t>1 Bender's Immigration Litigation Forms Form 3</w:t>
        </w:r>
      </w:hyperlink>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Terms: </w:t>
      </w:r>
      <w:r>
        <w:rPr>
          <w:rFonts w:ascii="Arial" w:eastAsia="Arial" w:hAnsi="Arial" w:cs="Arial"/>
          <w:color w:val="000000"/>
          <w:sz w:val="20"/>
          <w:lang w:val="en-US" w:eastAsia="en-US" w:bidi="ar-SA"/>
        </w:rPr>
        <w:t>habeas</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Type: </w:t>
      </w:r>
      <w:r>
        <w:rPr>
          <w:rFonts w:ascii="Arial" w:eastAsia="Arial" w:hAnsi="Arial" w:cs="Arial"/>
          <w:color w:val="000000"/>
          <w:sz w:val="20"/>
          <w:lang w:val="en-US" w:eastAsia="en-US" w:bidi="ar-SA"/>
        </w:rPr>
        <w:t xml:space="preserve">Natural Language </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Narrowed by: </w:t>
      </w:r>
    </w:p>
    <w:p>
      <w:pPr>
        <w:spacing w:line="100" w:lineRule="exact"/>
        <w:jc w:val="both"/>
        <w:rPr>
          <w:lang w:val="en-US" w:eastAsia="en-US" w:bidi="ar-SA"/>
        </w:rPr>
      </w:pPr>
    </w:p>
    <w:tbl>
      <w:tblPr>
        <w:tblStyle w:val="TableNormal"/>
        <w:tblW w:w="8000" w:type="dxa"/>
        <w:jc w:val="center"/>
        <w:tblBorders>
          <w:top w:val="nil"/>
          <w:left w:val="nil"/>
          <w:bottom w:val="nil"/>
          <w:right w:val="nil"/>
          <w:insideH w:val="nil"/>
          <w:insideV w:val="nil"/>
        </w:tblBorders>
        <w:tblLayout w:type="fixed"/>
        <w:tblCellMar>
          <w:left w:w="108" w:type="dxa"/>
          <w:right w:w="108" w:type="dxa"/>
        </w:tblCellMar>
      </w:tblPr>
      <w:tblGrid>
        <w:gridCol w:w="3000"/>
        <w:gridCol w:w="5000"/>
      </w:tblGrid>
      <w:tr>
        <w:tblPrEx>
          <w:tblW w:w="800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b/>
                <w:color w:val="000000"/>
                <w:sz w:val="18"/>
                <w:lang w:val="en-US" w:eastAsia="en-US" w:bidi="ar-SA"/>
              </w:rPr>
              <w:t>Content Type</w:t>
            </w:r>
          </w:p>
        </w:tc>
        <w:tc>
          <w:tcPr>
            <w:tcW w:w="5000" w:type="dxa"/>
          </w:tcPr>
          <w:p>
            <w:pPr>
              <w:spacing w:line="220" w:lineRule="atLeast"/>
              <w:rPr>
                <w:lang w:val="en-US" w:eastAsia="en-US" w:bidi="ar-SA"/>
              </w:rPr>
            </w:pPr>
            <w:r>
              <w:rPr>
                <w:rFonts w:ascii="Arial" w:eastAsia="Arial" w:hAnsi="Arial" w:cs="Arial"/>
                <w:b/>
                <w:color w:val="000000"/>
                <w:sz w:val="18"/>
                <w:lang w:val="en-US" w:eastAsia="en-US" w:bidi="ar-SA"/>
              </w:rPr>
              <w:t>Narrowed by</w:t>
            </w:r>
          </w:p>
        </w:tc>
      </w:tr>
      <w:tr>
        <w:tblPrEx>
          <w:tblW w:w="8000" w:type="dxa"/>
          <w:jc w:val="center"/>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color w:val="000000"/>
                <w:sz w:val="18"/>
                <w:lang w:val="en-US" w:eastAsia="en-US" w:bidi="ar-SA"/>
              </w:rPr>
              <w:t>Secondary Materials</w:t>
            </w:r>
          </w:p>
        </w:tc>
        <w:tc>
          <w:tcPr>
            <w:tcW w:w="5000" w:type="dxa"/>
          </w:tcPr>
          <w:p>
            <w:pPr>
              <w:spacing w:line="220" w:lineRule="atLeast"/>
              <w:rPr>
                <w:lang w:val="en-US" w:eastAsia="en-US" w:bidi="ar-SA"/>
              </w:rPr>
            </w:pPr>
            <w:r>
              <w:rPr>
                <w:rFonts w:ascii="Arial" w:eastAsia="Arial" w:hAnsi="Arial" w:cs="Arial"/>
                <w:color w:val="000000"/>
                <w:sz w:val="18"/>
                <w:lang w:val="en-US" w:eastAsia="en-US" w:bidi="ar-SA"/>
              </w:rPr>
              <w:t>Sources: Immigration; Treatises, Practice Guides &amp; Jurisprudence</w:t>
            </w:r>
          </w:p>
        </w:tc>
      </w:tr>
    </w:tbl>
    <w:p>
      <w:pPr>
        <w:rPr>
          <w:lang w:val="en-US" w:eastAsia="en-US" w:bidi="ar-SA"/>
        </w:rPr>
        <w:sectPr>
          <w:headerReference w:type="even" r:id="rId7"/>
          <w:headerReference w:type="default" r:id="rId8"/>
          <w:footerReference w:type="even" r:id="rId9"/>
          <w:footerReference w:type="default" r:id="rId10"/>
          <w:headerReference w:type="first" r:id="rId11"/>
          <w:footerReference w:type="first" r:id="rId12"/>
          <w:type w:val="nextPage"/>
          <w:pgMar w:top="840" w:right="1080" w:bottom="840" w:left="1080" w:header="0" w:footer="0"/>
          <w:pgNumType w:fmt="decimal"/>
          <w:cols w:space="720"/>
        </w:sectPr>
      </w:pPr>
    </w:p>
    <w:p>
      <w:pPr>
        <w:rPr>
          <w:rFonts w:ascii="arial" w:eastAsia="arial" w:hAnsi="arial" w:cs="arial"/>
          <w:sz w:val="20"/>
          <w:lang w:val="en-US" w:eastAsia="en-US" w:bidi="ar-SA"/>
        </w:rPr>
        <w:sectPr>
          <w:headerReference w:type="even" r:id="rId13"/>
          <w:headerReference w:type="default" r:id="rId14"/>
          <w:footerReference w:type="even" r:id="rId15"/>
          <w:footerReference w:type="default" r:id="rId16"/>
          <w:headerReference w:type="first" r:id="rId17"/>
          <w:footerReference w:type="first" r:id="rId18"/>
          <w:type w:val="nextPage"/>
          <w:pgSz w:w="12240" w:h="15840"/>
          <w:pgMar w:top="840" w:right="1000" w:bottom="840" w:left="1000" w:header="400" w:footer="400"/>
          <w:pgNumType w:fmt="decimal"/>
          <w:cols w:space="720"/>
          <w:titlePg/>
        </w:sectPr>
      </w:pPr>
    </w:p>
    <w:p>
      <w:pPr>
        <w:rPr>
          <w:rFonts w:ascii="arial" w:eastAsia="arial" w:hAnsi="arial" w:cs="arial"/>
          <w:sz w:val="20"/>
          <w:lang w:val="en-US" w:eastAsia="en-US" w:bidi="ar-SA"/>
        </w:rPr>
      </w:pPr>
      <w:bookmarkStart w:id="0" w:name="Bookmark_1"/>
      <w:bookmarkEnd w:id="0"/>
    </w:p>
    <w:p>
      <w:pPr>
        <w:spacing w:before="240" w:after="200" w:line="340" w:lineRule="atLeast"/>
        <w:jc w:val="center"/>
        <w:outlineLvl w:val="0"/>
        <w:rPr>
          <w:rFonts w:ascii="Arial" w:eastAsia="arial" w:hAnsi="Arial" w:cs="Arial"/>
          <w:b/>
          <w:bCs/>
          <w:kern w:val="32"/>
          <w:sz w:val="32"/>
          <w:szCs w:val="32"/>
          <w:lang w:val="en-US" w:eastAsia="en-US" w:bidi="ar-SA"/>
        </w:rPr>
      </w:pPr>
      <w:hyperlink r:id="rId19" w:history="1">
        <w:r>
          <w:rPr>
            <w:rFonts w:ascii="arial" w:eastAsia="arial" w:hAnsi="arial" w:cs="arial"/>
            <w:b/>
            <w:bCs/>
            <w:i/>
            <w:color w:val="0077CC"/>
            <w:kern w:val="32"/>
            <w:sz w:val="28"/>
            <w:szCs w:val="32"/>
            <w:u w:val="single"/>
            <w:shd w:val="clear" w:color="auto" w:fill="FFFFFF"/>
            <w:lang w:val="en-US" w:eastAsia="en-US" w:bidi="ar-SA"/>
          </w:rPr>
          <w:t>1 Bender's Immigration Litigation Forms Form 3</w:t>
        </w:r>
      </w:hyperlink>
    </w:p>
    <w:p>
      <w:pPr>
        <w:spacing w:line="260" w:lineRule="atLeast"/>
        <w:jc w:val="both"/>
        <w:rPr>
          <w:rFonts w:ascii="arial" w:eastAsia="arial" w:hAnsi="arial" w:cs="arial"/>
          <w:sz w:val="20"/>
          <w:lang w:val="en-US" w:eastAsia="en-US" w:bidi="ar-SA"/>
        </w:rPr>
      </w:pPr>
    </w:p>
    <w:p>
      <w:pPr>
        <w:spacing w:before="200" w:line="280" w:lineRule="atLeast"/>
        <w:rPr>
          <w:rFonts w:ascii="arial" w:eastAsia="arial" w:hAnsi="arial" w:cs="arial"/>
          <w:sz w:val="20"/>
          <w:lang w:val="en-US" w:eastAsia="en-US" w:bidi="ar-SA"/>
        </w:rPr>
      </w:pPr>
      <w:r>
        <w:rPr>
          <w:rFonts w:ascii="arial" w:eastAsia="arial" w:hAnsi="arial" w:cs="arial"/>
          <w:b/>
          <w:i/>
          <w:color w:val="000000"/>
          <w:sz w:val="22"/>
          <w:lang w:val="en-US" w:eastAsia="en-US" w:bidi="ar-SA"/>
        </w:rPr>
        <w:t>Bender's Immigration Litigation Forms</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1  Bender's Immigration Litigation Forms</w:t>
      </w:r>
    </w:p>
    <w:p>
      <w:pPr>
        <w:keepNext/>
        <w:spacing w:before="240" w:line="340" w:lineRule="atLeast"/>
        <w:rPr>
          <w:rFonts w:ascii="arial" w:eastAsia="arial" w:hAnsi="arial" w:cs="arial"/>
          <w:sz w:val="20"/>
          <w:lang w:val="en-US" w:eastAsia="en-US" w:bidi="ar-SA"/>
        </w:rPr>
      </w:pPr>
      <w:r>
        <w:rPr>
          <w:rFonts w:ascii="arial" w:eastAsia="arial" w:hAnsi="arial" w:cs="arial"/>
          <w:sz w:val="20"/>
          <w:lang w:val="en-US" w:eastAsia="en-US" w:bidi="ar-SA"/>
        </w:rPr>
        <w:br/>
      </w:r>
      <w:r>
        <w:rPr>
          <w:rFonts w:ascii="arial" w:eastAsia="arial" w:hAnsi="arial" w:cs="arial"/>
          <w:b/>
          <w:color w:val="000000"/>
          <w:sz w:val="28"/>
          <w:lang w:val="en-US" w:eastAsia="en-US" w:bidi="ar-SA"/>
        </w:rPr>
        <w:t>Form 3 Motion to Expedite Hearing and Disposition and For Release Pending Appeal Under Circuit Court Rule</w:t>
      </w:r>
    </w:p>
    <w:p>
      <w:pPr>
        <w:spacing w:line="60" w:lineRule="exact"/>
        <w:rPr>
          <w:rFonts w:ascii="arial" w:eastAsia="arial" w:hAnsi="arial" w:cs="arial"/>
          <w:sz w:val="20"/>
          <w:lang w:val="en-US" w:eastAsia="en-US" w:bidi="ar-SA"/>
        </w:rPr>
      </w:pPr>
      <w:r>
        <w:pict>
          <v:line id="_x0000_s1026" style="position:absolute;z-index:251658240" from="0,2pt" to="512pt,2pt" strokecolor="#009ddb" strokeweight="2pt">
            <v:stroke linestyle="single"/>
            <w10:wrap type="topAndBottom"/>
          </v:line>
        </w:pict>
      </w:r>
    </w:p>
    <w:p>
      <w:pPr>
        <w:rPr>
          <w:rFonts w:ascii="arial" w:eastAsia="arial" w:hAnsi="arial" w:cs="arial"/>
          <w:sz w:val="20"/>
          <w:lang w:val="en-US" w:eastAsia="en-US" w:bidi="ar-SA"/>
        </w:rPr>
      </w:pPr>
    </w:p>
    <w:p>
      <w:pPr>
        <w:rPr>
          <w:rFonts w:ascii="arial" w:eastAsia="arial" w:hAnsi="arial" w:cs="arial"/>
          <w:sz w:val="20"/>
          <w:lang w:val="en-US" w:eastAsia="en-US" w:bidi="ar-SA"/>
        </w:rPr>
      </w:pPr>
      <w:bookmarkStart w:id="1" w:name="Bookmark_TAAB"/>
      <w:bookmarkEnd w:id="1"/>
      <w:bookmarkStart w:id="2" w:name="Bookmark__1"/>
      <w:bookmarkEnd w:id="2"/>
    </w:p>
    <w:p>
      <w:pPr>
        <w:numPr>
          <w:numId w:val="1"/>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Practice Pointers for Form 3, Motion to Expedite Hearing and Disposition and For Release Pending Appeal Under Circuit Court Rule</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Statutes and Regulations</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Civil Procedure</w:t>
      </w:r>
    </w:p>
    <w:p>
      <w:pPr>
        <w:numPr>
          <w:numId w:val="2"/>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Ninth Circuit Rule 27-12</w:t>
      </w:r>
    </w:p>
    <w:p>
      <w:pPr>
        <w:numPr>
          <w:numId w:val="3"/>
        </w:numPr>
        <w:spacing w:before="240" w:line="260" w:lineRule="atLeast"/>
        <w:jc w:val="both"/>
        <w:rPr>
          <w:rFonts w:ascii="arial" w:eastAsia="arial" w:hAnsi="arial" w:cs="arial"/>
          <w:sz w:val="20"/>
          <w:lang w:val="en-US" w:eastAsia="en-US" w:bidi="ar-SA"/>
        </w:rPr>
      </w:pPr>
      <w:hyperlink r:id="rId20" w:history="1">
        <w:r>
          <w:rPr>
            <w:rFonts w:ascii="arial" w:eastAsia="arial" w:hAnsi="arial" w:cs="arial"/>
            <w:b/>
            <w:i/>
            <w:color w:val="0077CC"/>
            <w:sz w:val="20"/>
            <w:u w:val="single"/>
            <w:shd w:val="clear" w:color="auto" w:fill="FFFFFF"/>
            <w:lang w:val="en-US" w:eastAsia="en-US" w:bidi="ar-SA"/>
          </w:rPr>
          <w:t>28 U.S.C. 2243</w:t>
        </w:r>
      </w:hyperlink>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Immigration</w:t>
      </w:r>
    </w:p>
    <w:p>
      <w:pPr>
        <w:numPr>
          <w:numId w:val="4"/>
        </w:numPr>
        <w:spacing w:before="240" w:line="260" w:lineRule="atLeast"/>
        <w:jc w:val="both"/>
        <w:rPr>
          <w:rFonts w:ascii="arial" w:eastAsia="arial" w:hAnsi="arial" w:cs="arial"/>
          <w:sz w:val="20"/>
          <w:lang w:val="en-US" w:eastAsia="en-US" w:bidi="ar-SA"/>
        </w:rPr>
      </w:pPr>
      <w:hyperlink r:id="rId21" w:history="1">
        <w:r>
          <w:rPr>
            <w:rFonts w:ascii="arial" w:eastAsia="arial" w:hAnsi="arial" w:cs="arial"/>
            <w:b/>
            <w:i/>
            <w:color w:val="0077CC"/>
            <w:sz w:val="20"/>
            <w:u w:val="single"/>
            <w:shd w:val="clear" w:color="auto" w:fill="FFFFFF"/>
            <w:lang w:val="en-US" w:eastAsia="en-US" w:bidi="ar-SA"/>
          </w:rPr>
          <w:t>8 U.S.C. 1225</w:t>
        </w:r>
      </w:hyperlink>
    </w:p>
    <w:p>
      <w:pPr>
        <w:numPr>
          <w:numId w:val="5"/>
        </w:numPr>
        <w:spacing w:before="240" w:line="260" w:lineRule="atLeast"/>
        <w:jc w:val="both"/>
        <w:rPr>
          <w:rFonts w:ascii="arial" w:eastAsia="arial" w:hAnsi="arial" w:cs="arial"/>
          <w:sz w:val="20"/>
          <w:lang w:val="en-US" w:eastAsia="en-US" w:bidi="ar-SA"/>
        </w:rPr>
      </w:pPr>
      <w:hyperlink r:id="rId22" w:history="1">
        <w:r>
          <w:rPr>
            <w:rFonts w:ascii="arial" w:eastAsia="arial" w:hAnsi="arial" w:cs="arial"/>
            <w:b/>
            <w:i/>
            <w:color w:val="0077CC"/>
            <w:sz w:val="20"/>
            <w:u w:val="single"/>
            <w:shd w:val="clear" w:color="auto" w:fill="FFFFFF"/>
            <w:lang w:val="en-US" w:eastAsia="en-US" w:bidi="ar-SA"/>
          </w:rPr>
          <w:t>8 U.S.C. 1226a</w:t>
        </w:r>
      </w:hyperlink>
    </w:p>
    <w:p>
      <w:pPr>
        <w:numPr>
          <w:numId w:val="6"/>
        </w:numPr>
        <w:spacing w:before="240" w:line="260" w:lineRule="atLeast"/>
        <w:jc w:val="both"/>
        <w:rPr>
          <w:rFonts w:ascii="arial" w:eastAsia="arial" w:hAnsi="arial" w:cs="arial"/>
          <w:sz w:val="20"/>
          <w:lang w:val="en-US" w:eastAsia="en-US" w:bidi="ar-SA"/>
        </w:rPr>
      </w:pPr>
      <w:hyperlink r:id="rId23" w:history="1">
        <w:r>
          <w:rPr>
            <w:rFonts w:ascii="arial" w:eastAsia="arial" w:hAnsi="arial" w:cs="arial"/>
            <w:b/>
            <w:i/>
            <w:color w:val="0077CC"/>
            <w:sz w:val="20"/>
            <w:u w:val="single"/>
            <w:shd w:val="clear" w:color="auto" w:fill="FFFFFF"/>
            <w:lang w:val="en-US" w:eastAsia="en-US" w:bidi="ar-SA"/>
          </w:rPr>
          <w:t>8 U.S.C. 1182(d)(5)(A)</w:t>
        </w:r>
      </w:hyperlink>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Cases</w:t>
      </w:r>
    </w:p>
    <w:p>
      <w:pPr>
        <w:numPr>
          <w:numId w:val="7"/>
        </w:numPr>
        <w:spacing w:before="240" w:line="260" w:lineRule="atLeast"/>
        <w:jc w:val="both"/>
        <w:rPr>
          <w:rFonts w:ascii="arial" w:eastAsia="arial" w:hAnsi="arial" w:cs="arial"/>
          <w:sz w:val="20"/>
          <w:lang w:val="en-US" w:eastAsia="en-US" w:bidi="ar-SA"/>
        </w:rPr>
      </w:pPr>
      <w:hyperlink r:id="rId24" w:history="1">
        <w:r>
          <w:rPr>
            <w:rFonts w:ascii="arial" w:eastAsia="arial" w:hAnsi="arial" w:cs="arial"/>
            <w:b/>
            <w:i/>
            <w:color w:val="0077CC"/>
            <w:sz w:val="20"/>
            <w:u w:val="single"/>
            <w:shd w:val="clear" w:color="auto" w:fill="FFFFFF"/>
            <w:lang w:val="en-US" w:eastAsia="en-US" w:bidi="ar-SA"/>
          </w:rPr>
          <w:t xml:space="preserve">Zadvydas v. Davis, </w:t>
        </w:r>
      </w:hyperlink>
      <w:hyperlink r:id="rId24" w:history="1">
        <w:r>
          <w:rPr>
            <w:rFonts w:ascii="arial" w:eastAsia="arial" w:hAnsi="arial" w:cs="arial"/>
            <w:b/>
            <w:i/>
            <w:color w:val="0077CC"/>
            <w:sz w:val="20"/>
            <w:u w:val="single"/>
            <w:shd w:val="clear" w:color="auto" w:fill="FFFFFF"/>
            <w:lang w:val="en-US" w:eastAsia="en-US" w:bidi="ar-SA"/>
          </w:rPr>
          <w:t>533 U.S. 678, 690 (2001)</w:t>
        </w:r>
      </w:hyperlink>
    </w:p>
    <w:p>
      <w:pPr>
        <w:numPr>
          <w:numId w:val="8"/>
        </w:numPr>
        <w:spacing w:before="240" w:line="260" w:lineRule="atLeast"/>
        <w:jc w:val="both"/>
        <w:rPr>
          <w:rFonts w:ascii="arial" w:eastAsia="arial" w:hAnsi="arial" w:cs="arial"/>
          <w:sz w:val="20"/>
          <w:lang w:val="en-US" w:eastAsia="en-US" w:bidi="ar-SA"/>
        </w:rPr>
      </w:pPr>
      <w:hyperlink r:id="rId25" w:history="1">
        <w:r>
          <w:rPr>
            <w:rFonts w:ascii="arial" w:eastAsia="arial" w:hAnsi="arial" w:cs="arial"/>
            <w:b/>
            <w:i/>
            <w:color w:val="0077CC"/>
            <w:sz w:val="20"/>
            <w:u w:val="single"/>
            <w:shd w:val="clear" w:color="auto" w:fill="FFFFFF"/>
            <w:lang w:val="en-US" w:eastAsia="en-US" w:bidi="ar-SA"/>
          </w:rPr>
          <w:t xml:space="preserve">Clark v. Martinez, </w:t>
        </w:r>
      </w:hyperlink>
      <w:hyperlink r:id="rId25" w:history="1">
        <w:r>
          <w:rPr>
            <w:rFonts w:ascii="arial" w:eastAsia="arial" w:hAnsi="arial" w:cs="arial"/>
            <w:b/>
            <w:i/>
            <w:color w:val="0077CC"/>
            <w:sz w:val="20"/>
            <w:u w:val="single"/>
            <w:shd w:val="clear" w:color="auto" w:fill="FFFFFF"/>
            <w:lang w:val="en-US" w:eastAsia="en-US" w:bidi="ar-SA"/>
          </w:rPr>
          <w:t>543 U.S. 371, 125 S. Ct. 716 (2004)</w:t>
        </w:r>
      </w:hyperlink>
    </w:p>
    <w:p>
      <w:pPr>
        <w:numPr>
          <w:numId w:val="9"/>
        </w:numPr>
        <w:spacing w:before="240" w:line="260" w:lineRule="atLeast"/>
        <w:jc w:val="both"/>
        <w:rPr>
          <w:rFonts w:ascii="arial" w:eastAsia="arial" w:hAnsi="arial" w:cs="arial"/>
          <w:sz w:val="20"/>
          <w:lang w:val="en-US" w:eastAsia="en-US" w:bidi="ar-SA"/>
        </w:rPr>
      </w:pPr>
      <w:hyperlink r:id="rId26" w:history="1">
        <w:r>
          <w:rPr>
            <w:rFonts w:ascii="arial" w:eastAsia="arial" w:hAnsi="arial" w:cs="arial"/>
            <w:b/>
            <w:i/>
            <w:color w:val="0077CC"/>
            <w:sz w:val="20"/>
            <w:u w:val="single"/>
            <w:shd w:val="clear" w:color="auto" w:fill="FFFFFF"/>
            <w:lang w:val="en-US" w:eastAsia="en-US" w:bidi="ar-SA"/>
          </w:rPr>
          <w:t xml:space="preserve">Hoeun Yong v. INS, </w:t>
        </w:r>
      </w:hyperlink>
      <w:hyperlink r:id="rId26" w:history="1">
        <w:r>
          <w:rPr>
            <w:rFonts w:ascii="arial" w:eastAsia="arial" w:hAnsi="arial" w:cs="arial"/>
            <w:b/>
            <w:i/>
            <w:color w:val="0077CC"/>
            <w:sz w:val="20"/>
            <w:u w:val="single"/>
            <w:shd w:val="clear" w:color="auto" w:fill="FFFFFF"/>
            <w:lang w:val="en-US" w:eastAsia="en-US" w:bidi="ar-SA"/>
          </w:rPr>
          <w:t>208 F.3d 1116, 1120 (9</w:t>
        </w:r>
      </w:hyperlink>
      <w:hyperlink r:id="rId26" w:history="1">
        <w:r>
          <w:rPr>
            <w:rFonts w:ascii="arial" w:eastAsia="arial" w:hAnsi="arial" w:cs="arial"/>
            <w:b/>
            <w:i/>
            <w:color w:val="0077CC"/>
            <w:sz w:val="20"/>
            <w:u w:val="single"/>
            <w:shd w:val="clear" w:color="auto" w:fill="FFFFFF"/>
            <w:vertAlign w:val="superscript"/>
            <w:lang w:val="en-US" w:eastAsia="en-US" w:bidi="ar-SA"/>
          </w:rPr>
          <w:t>th</w:t>
        </w:r>
      </w:hyperlink>
      <w:hyperlink r:id="rId26" w:history="1">
        <w:r>
          <w:rPr>
            <w:rFonts w:ascii="arial" w:eastAsia="arial" w:hAnsi="arial" w:cs="arial"/>
            <w:b/>
            <w:i/>
            <w:color w:val="0077CC"/>
            <w:sz w:val="20"/>
            <w:u w:val="single"/>
            <w:shd w:val="clear" w:color="auto" w:fill="FFFFFF"/>
            <w:lang w:val="en-US" w:eastAsia="en-US" w:bidi="ar-SA"/>
          </w:rPr>
          <w:t xml:space="preserve"> Cir. 2000)</w:t>
        </w:r>
      </w:hyperlink>
    </w:p>
    <w:p>
      <w:pPr>
        <w:numPr>
          <w:numId w:val="10"/>
        </w:numPr>
        <w:spacing w:before="240" w:line="260" w:lineRule="atLeast"/>
        <w:jc w:val="both"/>
        <w:rPr>
          <w:rFonts w:ascii="arial" w:eastAsia="arial" w:hAnsi="arial" w:cs="arial"/>
          <w:sz w:val="20"/>
          <w:lang w:val="en-US" w:eastAsia="en-US" w:bidi="ar-SA"/>
        </w:rPr>
      </w:pPr>
      <w:hyperlink r:id="rId27" w:history="1">
        <w:r>
          <w:rPr>
            <w:rFonts w:ascii="arial" w:eastAsia="arial" w:hAnsi="arial" w:cs="arial"/>
            <w:b/>
            <w:i/>
            <w:color w:val="0077CC"/>
            <w:sz w:val="20"/>
            <w:u w:val="single"/>
            <w:shd w:val="clear" w:color="auto" w:fill="FFFFFF"/>
            <w:lang w:val="en-US" w:eastAsia="en-US" w:bidi="ar-SA"/>
          </w:rPr>
          <w:t xml:space="preserve">Mapp v. Reno, </w:t>
        </w:r>
      </w:hyperlink>
      <w:hyperlink r:id="rId27" w:history="1">
        <w:r>
          <w:rPr>
            <w:rFonts w:ascii="arial" w:eastAsia="arial" w:hAnsi="arial" w:cs="arial"/>
            <w:b/>
            <w:i/>
            <w:color w:val="0077CC"/>
            <w:sz w:val="20"/>
            <w:u w:val="single"/>
            <w:shd w:val="clear" w:color="auto" w:fill="FFFFFF"/>
            <w:lang w:val="en-US" w:eastAsia="en-US" w:bidi="ar-SA"/>
          </w:rPr>
          <w:t>241 F.3d 221, 226 (2d Cir. 2001)</w:t>
        </w:r>
      </w:hyperlink>
    </w:p>
    <w:p>
      <w:pPr>
        <w:numPr>
          <w:numId w:val="11"/>
        </w:numPr>
        <w:spacing w:before="240" w:line="260" w:lineRule="atLeast"/>
        <w:jc w:val="both"/>
        <w:rPr>
          <w:rFonts w:ascii="arial" w:eastAsia="arial" w:hAnsi="arial" w:cs="arial"/>
          <w:sz w:val="20"/>
          <w:lang w:val="en-US" w:eastAsia="en-US" w:bidi="ar-SA"/>
        </w:rPr>
      </w:pPr>
      <w:hyperlink r:id="rId28" w:history="1">
        <w:r>
          <w:rPr>
            <w:rFonts w:ascii="arial" w:eastAsia="arial" w:hAnsi="arial" w:cs="arial"/>
            <w:b/>
            <w:i/>
            <w:color w:val="0077CC"/>
            <w:sz w:val="20"/>
            <w:u w:val="single"/>
            <w:shd w:val="clear" w:color="auto" w:fill="FFFFFF"/>
            <w:lang w:val="en-US" w:eastAsia="en-US" w:bidi="ar-SA"/>
          </w:rPr>
          <w:t xml:space="preserve">In re Chow Goo Pooi, </w:t>
        </w:r>
      </w:hyperlink>
      <w:hyperlink r:id="rId28" w:history="1">
        <w:r>
          <w:rPr>
            <w:rFonts w:ascii="arial" w:eastAsia="arial" w:hAnsi="arial" w:cs="arial"/>
            <w:b/>
            <w:i/>
            <w:color w:val="0077CC"/>
            <w:sz w:val="20"/>
            <w:u w:val="single"/>
            <w:shd w:val="clear" w:color="auto" w:fill="FFFFFF"/>
            <w:lang w:val="en-US" w:eastAsia="en-US" w:bidi="ar-SA"/>
          </w:rPr>
          <w:t>25 F. 77, 78 (9</w:t>
        </w:r>
      </w:hyperlink>
      <w:hyperlink r:id="rId28" w:history="1">
        <w:r>
          <w:rPr>
            <w:rFonts w:ascii="arial" w:eastAsia="arial" w:hAnsi="arial" w:cs="arial"/>
            <w:b/>
            <w:i/>
            <w:color w:val="0077CC"/>
            <w:sz w:val="20"/>
            <w:u w:val="single"/>
            <w:shd w:val="clear" w:color="auto" w:fill="FFFFFF"/>
            <w:vertAlign w:val="superscript"/>
            <w:lang w:val="en-US" w:eastAsia="en-US" w:bidi="ar-SA"/>
          </w:rPr>
          <w:t>th</w:t>
        </w:r>
      </w:hyperlink>
      <w:hyperlink r:id="rId28" w:history="1">
        <w:r>
          <w:rPr>
            <w:rFonts w:ascii="arial" w:eastAsia="arial" w:hAnsi="arial" w:cs="arial"/>
            <w:b/>
            <w:i/>
            <w:color w:val="0077CC"/>
            <w:sz w:val="20"/>
            <w:u w:val="single"/>
            <w:shd w:val="clear" w:color="auto" w:fill="FFFFFF"/>
            <w:lang w:val="en-US" w:eastAsia="en-US" w:bidi="ar-SA"/>
          </w:rPr>
          <w:t xml:space="preserve"> Cir. 1884)</w:t>
        </w:r>
      </w:hyperlink>
    </w:p>
    <w:p>
      <w:pPr>
        <w:numPr>
          <w:numId w:val="12"/>
        </w:numPr>
        <w:spacing w:before="240" w:line="260" w:lineRule="atLeast"/>
        <w:jc w:val="both"/>
        <w:rPr>
          <w:rFonts w:ascii="arial" w:eastAsia="arial" w:hAnsi="arial" w:cs="arial"/>
          <w:sz w:val="20"/>
          <w:lang w:val="en-US" w:eastAsia="en-US" w:bidi="ar-SA"/>
        </w:rPr>
      </w:pPr>
      <w:hyperlink r:id="rId29" w:history="1">
        <w:r>
          <w:rPr>
            <w:rFonts w:ascii="arial" w:eastAsia="arial" w:hAnsi="arial" w:cs="arial"/>
            <w:b/>
            <w:i/>
            <w:color w:val="0077CC"/>
            <w:sz w:val="20"/>
            <w:u w:val="single"/>
            <w:shd w:val="clear" w:color="auto" w:fill="FFFFFF"/>
            <w:lang w:val="en-US" w:eastAsia="en-US" w:bidi="ar-SA"/>
          </w:rPr>
          <w:t xml:space="preserve">Chin Wah v. Colwell, </w:t>
        </w:r>
      </w:hyperlink>
      <w:hyperlink r:id="rId29" w:history="1">
        <w:r>
          <w:rPr>
            <w:rFonts w:ascii="arial" w:eastAsia="arial" w:hAnsi="arial" w:cs="arial"/>
            <w:b/>
            <w:i/>
            <w:color w:val="0077CC"/>
            <w:sz w:val="20"/>
            <w:u w:val="single"/>
            <w:shd w:val="clear" w:color="auto" w:fill="FFFFFF"/>
            <w:lang w:val="en-US" w:eastAsia="en-US" w:bidi="ar-SA"/>
          </w:rPr>
          <w:t>187 F. 592, 595 (9</w:t>
        </w:r>
      </w:hyperlink>
      <w:hyperlink r:id="rId29" w:history="1">
        <w:r>
          <w:rPr>
            <w:rFonts w:ascii="arial" w:eastAsia="arial" w:hAnsi="arial" w:cs="arial"/>
            <w:b/>
            <w:i/>
            <w:color w:val="0077CC"/>
            <w:sz w:val="20"/>
            <w:u w:val="single"/>
            <w:shd w:val="clear" w:color="auto" w:fill="FFFFFF"/>
            <w:vertAlign w:val="superscript"/>
            <w:lang w:val="en-US" w:eastAsia="en-US" w:bidi="ar-SA"/>
          </w:rPr>
          <w:t>th</w:t>
        </w:r>
      </w:hyperlink>
      <w:hyperlink r:id="rId29" w:history="1">
        <w:r>
          <w:rPr>
            <w:rFonts w:ascii="arial" w:eastAsia="arial" w:hAnsi="arial" w:cs="arial"/>
            <w:b/>
            <w:i/>
            <w:color w:val="0077CC"/>
            <w:sz w:val="20"/>
            <w:u w:val="single"/>
            <w:shd w:val="clear" w:color="auto" w:fill="FFFFFF"/>
            <w:lang w:val="en-US" w:eastAsia="en-US" w:bidi="ar-SA"/>
          </w:rPr>
          <w:t xml:space="preserve"> Cir. 1911)</w:t>
        </w:r>
      </w:hyperlink>
    </w:p>
    <w:p>
      <w:pPr>
        <w:numPr>
          <w:numId w:val="13"/>
        </w:numPr>
        <w:spacing w:before="240" w:line="260" w:lineRule="atLeast"/>
        <w:jc w:val="both"/>
        <w:rPr>
          <w:rFonts w:ascii="arial" w:eastAsia="arial" w:hAnsi="arial" w:cs="arial"/>
          <w:sz w:val="20"/>
          <w:lang w:val="en-US" w:eastAsia="en-US" w:bidi="ar-SA"/>
        </w:rPr>
      </w:pPr>
      <w:hyperlink r:id="rId30" w:history="1">
        <w:r>
          <w:rPr>
            <w:rFonts w:ascii="arial" w:eastAsia="arial" w:hAnsi="arial" w:cs="arial"/>
            <w:b/>
            <w:i/>
            <w:color w:val="0077CC"/>
            <w:sz w:val="20"/>
            <w:u w:val="single"/>
            <w:shd w:val="clear" w:color="auto" w:fill="FFFFFF"/>
            <w:lang w:val="en-US" w:eastAsia="en-US" w:bidi="ar-SA"/>
          </w:rPr>
          <w:t xml:space="preserve">Kamalthas v. INS, </w:t>
        </w:r>
      </w:hyperlink>
      <w:hyperlink r:id="rId30" w:history="1">
        <w:r>
          <w:rPr>
            <w:rFonts w:ascii="arial" w:eastAsia="arial" w:hAnsi="arial" w:cs="arial"/>
            <w:b/>
            <w:i/>
            <w:color w:val="0077CC"/>
            <w:sz w:val="20"/>
            <w:u w:val="single"/>
            <w:shd w:val="clear" w:color="auto" w:fill="FFFFFF"/>
            <w:lang w:val="en-US" w:eastAsia="en-US" w:bidi="ar-SA"/>
          </w:rPr>
          <w:t>251 F.3d 1279, 1284 (9</w:t>
        </w:r>
      </w:hyperlink>
      <w:hyperlink r:id="rId30" w:history="1">
        <w:r>
          <w:rPr>
            <w:rFonts w:ascii="arial" w:eastAsia="arial" w:hAnsi="arial" w:cs="arial"/>
            <w:b/>
            <w:i/>
            <w:color w:val="0077CC"/>
            <w:sz w:val="20"/>
            <w:u w:val="single"/>
            <w:shd w:val="clear" w:color="auto" w:fill="FFFFFF"/>
            <w:vertAlign w:val="superscript"/>
            <w:lang w:val="en-US" w:eastAsia="en-US" w:bidi="ar-SA"/>
          </w:rPr>
          <w:t>th</w:t>
        </w:r>
      </w:hyperlink>
      <w:hyperlink r:id="rId30" w:history="1">
        <w:r>
          <w:rPr>
            <w:rFonts w:ascii="arial" w:eastAsia="arial" w:hAnsi="arial" w:cs="arial"/>
            <w:b/>
            <w:i/>
            <w:color w:val="0077CC"/>
            <w:sz w:val="20"/>
            <w:u w:val="single"/>
            <w:shd w:val="clear" w:color="auto" w:fill="FFFFFF"/>
            <w:lang w:val="en-US" w:eastAsia="en-US" w:bidi="ar-SA"/>
          </w:rPr>
          <w:t xml:space="preserve"> Cir. 2001)</w:t>
        </w:r>
      </w:hyperlink>
    </w:p>
    <w:p>
      <w:pPr>
        <w:numPr>
          <w:numId w:val="14"/>
        </w:numPr>
        <w:spacing w:before="240" w:line="260" w:lineRule="atLeast"/>
        <w:jc w:val="both"/>
        <w:rPr>
          <w:rFonts w:ascii="arial" w:eastAsia="arial" w:hAnsi="arial" w:cs="arial"/>
          <w:sz w:val="20"/>
          <w:lang w:val="en-US" w:eastAsia="en-US" w:bidi="ar-SA"/>
        </w:rPr>
      </w:pPr>
      <w:hyperlink r:id="rId31" w:history="1">
        <w:r>
          <w:rPr>
            <w:rFonts w:ascii="arial" w:eastAsia="arial" w:hAnsi="arial" w:cs="arial"/>
            <w:b/>
            <w:i/>
            <w:color w:val="0077CC"/>
            <w:sz w:val="20"/>
            <w:u w:val="single"/>
            <w:shd w:val="clear" w:color="auto" w:fill="FFFFFF"/>
            <w:lang w:val="en-US" w:eastAsia="en-US" w:bidi="ar-SA"/>
          </w:rPr>
          <w:t xml:space="preserve">Arulampalam v. Ashcroft, </w:t>
        </w:r>
      </w:hyperlink>
      <w:hyperlink r:id="rId31" w:history="1">
        <w:r>
          <w:rPr>
            <w:rFonts w:ascii="arial" w:eastAsia="arial" w:hAnsi="arial" w:cs="arial"/>
            <w:b/>
            <w:i/>
            <w:color w:val="0077CC"/>
            <w:sz w:val="20"/>
            <w:u w:val="single"/>
            <w:shd w:val="clear" w:color="auto" w:fill="FFFFFF"/>
            <w:lang w:val="en-US" w:eastAsia="en-US" w:bidi="ar-SA"/>
          </w:rPr>
          <w:t>353 F.3d 679, 689 (9</w:t>
        </w:r>
      </w:hyperlink>
      <w:hyperlink r:id="rId31" w:history="1">
        <w:r>
          <w:rPr>
            <w:rFonts w:ascii="arial" w:eastAsia="arial" w:hAnsi="arial" w:cs="arial"/>
            <w:b/>
            <w:i/>
            <w:color w:val="0077CC"/>
            <w:sz w:val="20"/>
            <w:u w:val="single"/>
            <w:shd w:val="clear" w:color="auto" w:fill="FFFFFF"/>
            <w:vertAlign w:val="superscript"/>
            <w:lang w:val="en-US" w:eastAsia="en-US" w:bidi="ar-SA"/>
          </w:rPr>
          <w:t>th</w:t>
        </w:r>
      </w:hyperlink>
      <w:hyperlink r:id="rId31" w:history="1">
        <w:r>
          <w:rPr>
            <w:rFonts w:ascii="arial" w:eastAsia="arial" w:hAnsi="arial" w:cs="arial"/>
            <w:b/>
            <w:i/>
            <w:color w:val="0077CC"/>
            <w:sz w:val="20"/>
            <w:u w:val="single"/>
            <w:shd w:val="clear" w:color="auto" w:fill="FFFFFF"/>
            <w:lang w:val="en-US" w:eastAsia="en-US" w:bidi="ar-SA"/>
          </w:rPr>
          <w:t xml:space="preserve"> Cir. 2003)</w:t>
        </w:r>
      </w:hyperlink>
    </w:p>
    <w:p>
      <w:pPr>
        <w:numPr>
          <w:numId w:val="15"/>
        </w:numPr>
        <w:spacing w:before="240" w:line="260" w:lineRule="atLeast"/>
        <w:jc w:val="both"/>
        <w:rPr>
          <w:rFonts w:ascii="arial" w:eastAsia="arial" w:hAnsi="arial" w:cs="arial"/>
          <w:sz w:val="20"/>
          <w:lang w:val="en-US" w:eastAsia="en-US" w:bidi="ar-SA"/>
        </w:rPr>
      </w:pPr>
      <w:hyperlink r:id="rId32" w:history="1">
        <w:r>
          <w:rPr>
            <w:rFonts w:ascii="arial" w:eastAsia="arial" w:hAnsi="arial" w:cs="arial"/>
            <w:b/>
            <w:i/>
            <w:color w:val="0077CC"/>
            <w:sz w:val="20"/>
            <w:u w:val="single"/>
            <w:shd w:val="clear" w:color="auto" w:fill="FFFFFF"/>
            <w:lang w:val="en-US" w:eastAsia="en-US" w:bidi="ar-SA"/>
          </w:rPr>
          <w:t xml:space="preserve">Ly v. Hansen, </w:t>
        </w:r>
      </w:hyperlink>
      <w:hyperlink r:id="rId32" w:history="1">
        <w:r>
          <w:rPr>
            <w:rFonts w:ascii="arial" w:eastAsia="arial" w:hAnsi="arial" w:cs="arial"/>
            <w:b/>
            <w:i/>
            <w:color w:val="0077CC"/>
            <w:sz w:val="20"/>
            <w:u w:val="single"/>
            <w:shd w:val="clear" w:color="auto" w:fill="FFFFFF"/>
            <w:lang w:val="en-US" w:eastAsia="en-US" w:bidi="ar-SA"/>
          </w:rPr>
          <w:t>351 F.3d 263 (6</w:t>
        </w:r>
      </w:hyperlink>
      <w:hyperlink r:id="rId32" w:history="1">
        <w:r>
          <w:rPr>
            <w:rFonts w:ascii="arial" w:eastAsia="arial" w:hAnsi="arial" w:cs="arial"/>
            <w:b/>
            <w:i/>
            <w:color w:val="0077CC"/>
            <w:sz w:val="20"/>
            <w:u w:val="single"/>
            <w:shd w:val="clear" w:color="auto" w:fill="FFFFFF"/>
            <w:vertAlign w:val="superscript"/>
            <w:lang w:val="en-US" w:eastAsia="en-US" w:bidi="ar-SA"/>
          </w:rPr>
          <w:t>th</w:t>
        </w:r>
      </w:hyperlink>
      <w:hyperlink r:id="rId32" w:history="1">
        <w:r>
          <w:rPr>
            <w:rFonts w:ascii="arial" w:eastAsia="arial" w:hAnsi="arial" w:cs="arial"/>
            <w:b/>
            <w:i/>
            <w:color w:val="0077CC"/>
            <w:sz w:val="20"/>
            <w:u w:val="single"/>
            <w:shd w:val="clear" w:color="auto" w:fill="FFFFFF"/>
            <w:lang w:val="en-US" w:eastAsia="en-US" w:bidi="ar-SA"/>
          </w:rPr>
          <w:t xml:space="preserve"> Cir. 2003)</w:t>
        </w:r>
      </w:hyperlink>
    </w:p>
    <w:p>
      <w:pPr>
        <w:numPr>
          <w:numId w:val="16"/>
        </w:numPr>
        <w:spacing w:before="240" w:line="260" w:lineRule="atLeast"/>
        <w:jc w:val="both"/>
        <w:rPr>
          <w:rFonts w:ascii="arial" w:eastAsia="arial" w:hAnsi="arial" w:cs="arial"/>
          <w:sz w:val="20"/>
          <w:lang w:val="en-US" w:eastAsia="en-US" w:bidi="ar-SA"/>
        </w:rPr>
      </w:pPr>
      <w:hyperlink r:id="rId33" w:history="1">
        <w:r>
          <w:rPr>
            <w:rFonts w:ascii="arial" w:eastAsia="arial" w:hAnsi="arial" w:cs="arial"/>
            <w:b/>
            <w:i/>
            <w:color w:val="0077CC"/>
            <w:sz w:val="20"/>
            <w:u w:val="single"/>
            <w:shd w:val="clear" w:color="auto" w:fill="FFFFFF"/>
            <w:lang w:val="en-US" w:eastAsia="en-US" w:bidi="ar-SA"/>
          </w:rPr>
          <w:t xml:space="preserve">Welch v. Ashcroft, </w:t>
        </w:r>
      </w:hyperlink>
      <w:hyperlink r:id="rId33" w:history="1">
        <w:r>
          <w:rPr>
            <w:rFonts w:ascii="arial" w:eastAsia="arial" w:hAnsi="arial" w:cs="arial"/>
            <w:b/>
            <w:i/>
            <w:color w:val="0077CC"/>
            <w:sz w:val="20"/>
            <w:u w:val="single"/>
            <w:shd w:val="clear" w:color="auto" w:fill="FFFFFF"/>
            <w:lang w:val="en-US" w:eastAsia="en-US" w:bidi="ar-SA"/>
          </w:rPr>
          <w:t>293 F.3d 213, 224–25 (4</w:t>
        </w:r>
      </w:hyperlink>
      <w:hyperlink r:id="rId33" w:history="1">
        <w:r>
          <w:rPr>
            <w:rFonts w:ascii="arial" w:eastAsia="arial" w:hAnsi="arial" w:cs="arial"/>
            <w:b/>
            <w:i/>
            <w:color w:val="0077CC"/>
            <w:sz w:val="20"/>
            <w:u w:val="single"/>
            <w:shd w:val="clear" w:color="auto" w:fill="FFFFFF"/>
            <w:vertAlign w:val="superscript"/>
            <w:lang w:val="en-US" w:eastAsia="en-US" w:bidi="ar-SA"/>
          </w:rPr>
          <w:t>th</w:t>
        </w:r>
      </w:hyperlink>
      <w:hyperlink r:id="rId33" w:history="1">
        <w:r>
          <w:rPr>
            <w:rFonts w:ascii="arial" w:eastAsia="arial" w:hAnsi="arial" w:cs="arial"/>
            <w:b/>
            <w:i/>
            <w:color w:val="0077CC"/>
            <w:sz w:val="20"/>
            <w:u w:val="single"/>
            <w:shd w:val="clear" w:color="auto" w:fill="FFFFFF"/>
            <w:lang w:val="en-US" w:eastAsia="en-US" w:bidi="ar-SA"/>
          </w:rPr>
          <w:t xml:space="preserve"> Cir. 2002)</w:t>
        </w:r>
      </w:hyperlink>
      <w:r>
        <w:rPr>
          <w:rFonts w:ascii="arial" w:eastAsia="arial" w:hAnsi="arial" w:cs="arial"/>
          <w:b/>
          <w:color w:val="000000"/>
          <w:sz w:val="20"/>
          <w:lang w:val="en-US" w:eastAsia="en-US" w:bidi="ar-SA"/>
        </w:rPr>
        <w:t xml:space="preserve">, overruled in part sub silentio on other grounds, </w:t>
      </w:r>
      <w:hyperlink r:id="rId34" w:history="1">
        <w:r>
          <w:rPr>
            <w:rFonts w:ascii="arial" w:eastAsia="arial" w:hAnsi="arial" w:cs="arial"/>
            <w:b/>
            <w:i/>
            <w:color w:val="0077CC"/>
            <w:sz w:val="20"/>
            <w:u w:val="single"/>
            <w:shd w:val="clear" w:color="auto" w:fill="FFFFFF"/>
            <w:lang w:val="en-US" w:eastAsia="en-US" w:bidi="ar-SA"/>
          </w:rPr>
          <w:t>Demore v. Kim, 538 U.S. 510 (2003)</w:t>
        </w:r>
      </w:hyperlink>
    </w:p>
    <w:p>
      <w:pPr>
        <w:numPr>
          <w:numId w:val="17"/>
        </w:numPr>
        <w:spacing w:before="240" w:line="260" w:lineRule="atLeast"/>
        <w:jc w:val="both"/>
        <w:rPr>
          <w:rFonts w:ascii="arial" w:eastAsia="arial" w:hAnsi="arial" w:cs="arial"/>
          <w:sz w:val="20"/>
          <w:lang w:val="en-US" w:eastAsia="en-US" w:bidi="ar-SA"/>
        </w:rPr>
      </w:pPr>
      <w:hyperlink r:id="rId35" w:history="1">
        <w:r>
          <w:rPr>
            <w:rFonts w:ascii="arial" w:eastAsia="arial" w:hAnsi="arial" w:cs="arial"/>
            <w:b/>
            <w:i/>
            <w:color w:val="0077CC"/>
            <w:sz w:val="20"/>
            <w:u w:val="single"/>
            <w:shd w:val="clear" w:color="auto" w:fill="FFFFFF"/>
            <w:lang w:val="en-US" w:eastAsia="en-US" w:bidi="ar-SA"/>
          </w:rPr>
          <w:t xml:space="preserve">Oyedeji v. Ashcroft, </w:t>
        </w:r>
      </w:hyperlink>
      <w:hyperlink r:id="rId35" w:history="1">
        <w:r>
          <w:rPr>
            <w:rFonts w:ascii="arial" w:eastAsia="arial" w:hAnsi="arial" w:cs="arial"/>
            <w:b/>
            <w:i/>
            <w:color w:val="0077CC"/>
            <w:sz w:val="20"/>
            <w:u w:val="single"/>
            <w:shd w:val="clear" w:color="auto" w:fill="FFFFFF"/>
            <w:lang w:val="en-US" w:eastAsia="en-US" w:bidi="ar-SA"/>
          </w:rPr>
          <w:t>332 F. Supp. 2d 747, 753 (M.D. Pa. 2004)</w:t>
        </w:r>
      </w:hyperlink>
    </w:p>
    <w:p>
      <w:pPr>
        <w:numPr>
          <w:numId w:val="18"/>
        </w:numPr>
        <w:spacing w:before="240" w:line="260" w:lineRule="atLeast"/>
        <w:jc w:val="both"/>
        <w:rPr>
          <w:rFonts w:ascii="arial" w:eastAsia="arial" w:hAnsi="arial" w:cs="arial"/>
          <w:sz w:val="20"/>
          <w:lang w:val="en-US" w:eastAsia="en-US" w:bidi="ar-SA"/>
        </w:rPr>
      </w:pPr>
      <w:hyperlink r:id="rId36" w:history="1">
        <w:r>
          <w:rPr>
            <w:rFonts w:ascii="arial" w:eastAsia="arial" w:hAnsi="arial" w:cs="arial"/>
            <w:b/>
            <w:i/>
            <w:color w:val="0077CC"/>
            <w:sz w:val="20"/>
            <w:u w:val="single"/>
            <w:shd w:val="clear" w:color="auto" w:fill="FFFFFF"/>
            <w:lang w:val="en-US" w:eastAsia="en-US" w:bidi="ar-SA"/>
          </w:rPr>
          <w:t xml:space="preserve">Lawson v. Gerlinski, </w:t>
        </w:r>
      </w:hyperlink>
      <w:hyperlink r:id="rId36" w:history="1">
        <w:r>
          <w:rPr>
            <w:rFonts w:ascii="arial" w:eastAsia="arial" w:hAnsi="arial" w:cs="arial"/>
            <w:b/>
            <w:i/>
            <w:color w:val="0077CC"/>
            <w:sz w:val="20"/>
            <w:u w:val="single"/>
            <w:shd w:val="clear" w:color="auto" w:fill="FFFFFF"/>
            <w:lang w:val="en-US" w:eastAsia="en-US" w:bidi="ar-SA"/>
          </w:rPr>
          <w:t>332 F. Supp. 2d 735, 745 (M.D. Pa. 2004)</w:t>
        </w:r>
      </w:hyperlink>
    </w:p>
    <w:p>
      <w:pPr>
        <w:numPr>
          <w:numId w:val="19"/>
        </w:numPr>
        <w:spacing w:before="240" w:line="260" w:lineRule="atLeast"/>
        <w:jc w:val="both"/>
        <w:rPr>
          <w:rFonts w:ascii="arial" w:eastAsia="arial" w:hAnsi="arial" w:cs="arial"/>
          <w:sz w:val="20"/>
          <w:lang w:val="en-US" w:eastAsia="en-US" w:bidi="ar-SA"/>
        </w:rPr>
      </w:pPr>
      <w:hyperlink r:id="rId37" w:history="1">
        <w:r>
          <w:rPr>
            <w:rFonts w:ascii="arial" w:eastAsia="arial" w:hAnsi="arial" w:cs="arial"/>
            <w:b/>
            <w:i/>
            <w:color w:val="0077CC"/>
            <w:sz w:val="20"/>
            <w:u w:val="single"/>
            <w:shd w:val="clear" w:color="auto" w:fill="FFFFFF"/>
            <w:lang w:val="en-US" w:eastAsia="en-US" w:bidi="ar-SA"/>
          </w:rPr>
          <w:t xml:space="preserve">Wong v. INS, </w:t>
        </w:r>
      </w:hyperlink>
      <w:hyperlink r:id="rId37" w:history="1">
        <w:r>
          <w:rPr>
            <w:rFonts w:ascii="arial" w:eastAsia="arial" w:hAnsi="arial" w:cs="arial"/>
            <w:b/>
            <w:i/>
            <w:color w:val="0077CC"/>
            <w:sz w:val="20"/>
            <w:u w:val="single"/>
            <w:shd w:val="clear" w:color="auto" w:fill="FFFFFF"/>
            <w:lang w:val="en-US" w:eastAsia="en-US" w:bidi="ar-SA"/>
          </w:rPr>
          <w:t>373 F.3d 952, 970–75 (9</w:t>
        </w:r>
      </w:hyperlink>
      <w:hyperlink r:id="rId37" w:history="1">
        <w:r>
          <w:rPr>
            <w:rFonts w:ascii="arial" w:eastAsia="arial" w:hAnsi="arial" w:cs="arial"/>
            <w:b/>
            <w:i/>
            <w:color w:val="0077CC"/>
            <w:sz w:val="20"/>
            <w:u w:val="single"/>
            <w:shd w:val="clear" w:color="auto" w:fill="FFFFFF"/>
            <w:vertAlign w:val="superscript"/>
            <w:lang w:val="en-US" w:eastAsia="en-US" w:bidi="ar-SA"/>
          </w:rPr>
          <w:t>th</w:t>
        </w:r>
      </w:hyperlink>
      <w:hyperlink r:id="rId37" w:history="1">
        <w:r>
          <w:rPr>
            <w:rFonts w:ascii="arial" w:eastAsia="arial" w:hAnsi="arial" w:cs="arial"/>
            <w:b/>
            <w:i/>
            <w:color w:val="0077CC"/>
            <w:sz w:val="20"/>
            <w:u w:val="single"/>
            <w:shd w:val="clear" w:color="auto" w:fill="FFFFFF"/>
            <w:lang w:val="en-US" w:eastAsia="en-US" w:bidi="ar-SA"/>
          </w:rPr>
          <w:t xml:space="preserve"> Cir. 2004)</w:t>
        </w:r>
      </w:hyperlink>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Treatises</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Civil Procedure</w:t>
      </w:r>
    </w:p>
    <w:p>
      <w:pPr>
        <w:numPr>
          <w:numId w:val="20"/>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For discussion of writ of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corpus, see Moore's Federal Practice – Civil, Chapter 322</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Immigration</w:t>
      </w:r>
    </w:p>
    <w:p>
      <w:pPr>
        <w:numPr>
          <w:numId w:val="21"/>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For roadmap on judicial review, see Immigration Law Practice Expediter ``Petition for Judicial Review'' Selection Menu 9.02</w:t>
      </w:r>
    </w:p>
    <w:p>
      <w:pPr>
        <w:rPr>
          <w:rFonts w:ascii="arial" w:eastAsia="arial" w:hAnsi="arial" w:cs="arial"/>
          <w:sz w:val="20"/>
          <w:lang w:val="en-US" w:eastAsia="en-US" w:bidi="ar-SA"/>
        </w:rPr>
      </w:pPr>
      <w:bookmarkStart w:id="3" w:name="Bookmark_TAAC"/>
      <w:bookmarkEnd w:id="3"/>
      <w:bookmarkStart w:id="4" w:name="Bookmark__2"/>
      <w:bookmarkEnd w:id="4"/>
    </w:p>
    <w:p>
      <w:pPr>
        <w:numPr>
          <w:numId w:val="22"/>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Form 3, Motion to Expedite Hearing and Disposition and For Release Pending Appeal Under Circuit Court Rule</w:t>
      </w:r>
    </w:p>
    <w:p>
      <w:pPr>
        <w:rPr>
          <w:rFonts w:ascii="arial" w:eastAsia="arial" w:hAnsi="arial" w:cs="arial"/>
          <w:sz w:val="20"/>
          <w:lang w:val="en-US" w:eastAsia="en-US" w:bidi="ar-SA"/>
        </w:rPr>
      </w:pPr>
      <w:bookmarkStart w:id="5" w:name="Bookmark_TAACAAB"/>
      <w:bookmarkEnd w:id="5"/>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Form 3 Motion to Expedite Hearing and Disposition and For Release Pending Appeal Under Circuit Court Rule</w:t>
      </w:r>
    </w:p>
    <w:p>
      <w:pPr>
        <w:rPr>
          <w:rFonts w:ascii="arial" w:eastAsia="arial" w:hAnsi="arial" w:cs="arial"/>
          <w:sz w:val="20"/>
          <w:lang w:val="en-US" w:eastAsia="en-US" w:bidi="ar-SA"/>
        </w:rPr>
      </w:pPr>
    </w:p>
    <w:tbl>
      <w:tblPr>
        <w:tblStyle w:val="TableNormal"/>
        <w:tblW w:w="0" w:type="auto"/>
        <w:tblInd w:w="480" w:type="dxa"/>
        <w:tblBorders>
          <w:top w:val="single" w:sz="8" w:space="0" w:color="BCBEC0"/>
          <w:left w:val="single" w:sz="8" w:space="0" w:color="BCBEC0"/>
          <w:bottom w:val="single" w:sz="8" w:space="0" w:color="BCBEC0"/>
          <w:right w:val="single" w:sz="8" w:space="0" w:color="BCBEC0"/>
          <w:insideH w:val="single" w:sz="8" w:space="0" w:color="BCBEC0"/>
          <w:insideV w:val="single" w:sz="8" w:space="0" w:color="BCBEC0"/>
        </w:tblBorders>
        <w:tblLayout w:type="fixed"/>
        <w:tblCellMar>
          <w:left w:w="108" w:type="dxa"/>
          <w:right w:w="108" w:type="dxa"/>
        </w:tblCellMar>
      </w:tblPr>
      <w:tblGrid>
        <w:gridCol w:w="9760"/>
      </w:tblGrid>
      <w:tr>
        <w:tblPrEx>
          <w:tblW w:w="0" w:type="auto"/>
          <w:tblInd w:w="480" w:type="dxa"/>
          <w:tblBorders>
            <w:top w:val="single" w:sz="8" w:space="0" w:color="BCBEC0"/>
            <w:left w:val="single" w:sz="8" w:space="0" w:color="BCBEC0"/>
            <w:bottom w:val="single" w:sz="8" w:space="0" w:color="BCBEC0"/>
            <w:right w:val="single" w:sz="8" w:space="0" w:color="BCBEC0"/>
            <w:insideH w:val="single" w:sz="8" w:space="0" w:color="BCBEC0"/>
            <w:insideV w:val="single" w:sz="8" w:space="0" w:color="BCBEC0"/>
          </w:tblBorders>
          <w:tblLayout w:type="fixed"/>
          <w:tblCellMar>
            <w:left w:w="108" w:type="dxa"/>
            <w:right w:w="108" w:type="dxa"/>
          </w:tblCellMar>
        </w:tblPrEx>
        <w:tc>
          <w:tcPr>
            <w:tcW w:w="9760" w:type="dxa"/>
            <w:vAlign w:val="center"/>
          </w:tcPr>
          <w:p>
            <w:pPr>
              <w:spacing w:before="240" w:line="260" w:lineRule="atLeast"/>
              <w:ind w:left="60" w:right="360"/>
              <w:rPr>
                <w:rFonts w:ascii="arial" w:eastAsia="arial" w:hAnsi="arial" w:cs="arial"/>
                <w:sz w:val="20"/>
                <w:lang w:val="en-US" w:eastAsia="en-US" w:bidi="ar-SA"/>
              </w:rPr>
            </w:pPr>
            <w:r>
              <w:rPr>
                <w:rFonts w:ascii="arial" w:eastAsia="arial" w:hAnsi="arial" w:cs="arial"/>
                <w:b/>
                <w:color w:val="000000"/>
                <w:sz w:val="20"/>
                <w:lang w:val="en-US" w:eastAsia="en-US" w:bidi="ar-SA"/>
              </w:rPr>
              <w:t>Comment:</w:t>
            </w:r>
          </w:p>
          <w:p>
            <w:pPr>
              <w:spacing w:before="60" w:line="260" w:lineRule="atLeast"/>
              <w:ind w:left="60" w:righ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This sample form is a redaction from the record in </w:t>
            </w:r>
            <w:hyperlink r:id="rId38" w:history="1">
              <w:r>
                <w:rPr>
                  <w:rFonts w:ascii="arial" w:eastAsia="arial" w:hAnsi="arial" w:cs="arial"/>
                  <w:i/>
                  <w:color w:val="0077CC"/>
                  <w:sz w:val="20"/>
                  <w:u w:val="single"/>
                  <w:shd w:val="clear" w:color="auto" w:fill="FFFFFF"/>
                  <w:lang w:val="en-US" w:eastAsia="en-US" w:bidi="ar-SA"/>
                </w:rPr>
                <w:t>Nadarajah v. Gonzales</w:t>
              </w:r>
            </w:hyperlink>
            <w:hyperlink r:id="rId38" w:history="1">
              <w:r>
                <w:rPr>
                  <w:rFonts w:ascii="arial" w:eastAsia="arial" w:hAnsi="arial" w:cs="arial"/>
                  <w:i/>
                  <w:color w:val="0077CC"/>
                  <w:sz w:val="20"/>
                  <w:u w:val="single"/>
                  <w:shd w:val="clear" w:color="auto" w:fill="FFFFFF"/>
                  <w:lang w:val="en-US" w:eastAsia="en-US" w:bidi="ar-SA"/>
                </w:rPr>
                <w:t>, 443 F.3d 1069, 2006 U.S. App. LEXIS 6615 (9th Cir. 2006)</w:t>
              </w:r>
            </w:hyperlink>
            <w:r>
              <w:rPr>
                <w:rFonts w:ascii="arial" w:eastAsia="arial" w:hAnsi="arial" w:cs="arial"/>
                <w:color w:val="000000"/>
                <w:sz w:val="20"/>
                <w:lang w:val="en-US" w:eastAsia="en-US" w:bidi="ar-SA"/>
              </w:rPr>
              <w:t>.</w:t>
            </w:r>
          </w:p>
          <w:p>
            <w:pPr>
              <w:spacing w:after="120"/>
              <w:rPr>
                <w:rFonts w:ascii="arial" w:eastAsia="arial" w:hAnsi="arial" w:cs="arial"/>
                <w:sz w:val="20"/>
                <w:lang w:val="en-US" w:eastAsia="en-US" w:bidi="ar-SA"/>
              </w:rPr>
            </w:pPr>
          </w:p>
        </w:tc>
      </w:tr>
    </w:tbl>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Case No. </w:t>
      </w:r>
      <w:r>
        <w:rPr>
          <w:rFonts w:ascii="arial" w:eastAsia="arial" w:hAnsi="arial" w:cs="arial"/>
          <w:color w:val="000000"/>
          <w:sz w:val="20"/>
          <w:lang w:val="en-US" w:eastAsia="en-US" w:bidi="ar-SA"/>
        </w:rPr>
        <w:t>____________</w:t>
      </w:r>
    </w:p>
    <w:p>
      <w:pPr>
        <w:spacing w:before="240" w:line="260" w:lineRule="atLeast"/>
        <w:ind w:left="360"/>
        <w:jc w:val="right"/>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Dist. Court Case No. </w:t>
      </w:r>
      <w:r>
        <w:rPr>
          <w:rFonts w:ascii="arial" w:eastAsia="arial" w:hAnsi="arial" w:cs="arial"/>
          <w:b/>
          <w:color w:val="000000"/>
          <w:sz w:val="20"/>
          <w:lang w:val="en-US" w:eastAsia="en-US" w:bidi="ar-SA"/>
        </w:rPr>
        <w:t>____________</w:t>
      </w:r>
    </w:p>
    <w:p>
      <w:pPr>
        <w:spacing w:before="240" w:line="260" w:lineRule="atLeast"/>
        <w:ind w:left="360"/>
        <w:jc w:val="center"/>
        <w:rPr>
          <w:rFonts w:ascii="arial" w:eastAsia="arial" w:hAnsi="arial" w:cs="arial"/>
          <w:sz w:val="20"/>
          <w:lang w:val="en-US" w:eastAsia="en-US" w:bidi="ar-SA"/>
        </w:rPr>
      </w:pPr>
      <w:r>
        <w:rPr>
          <w:rFonts w:ascii="arial" w:eastAsia="arial" w:hAnsi="arial" w:cs="arial"/>
          <w:b/>
          <w:color w:val="000000"/>
          <w:sz w:val="20"/>
          <w:lang w:val="en-US" w:eastAsia="en-US" w:bidi="ar-SA"/>
        </w:rPr>
        <w:t>UNITED STATES COURT OF APPEALS</w:t>
      </w:r>
    </w:p>
    <w:p>
      <w:pPr>
        <w:spacing w:before="240" w:line="260" w:lineRule="atLeast"/>
        <w:ind w:left="360"/>
        <w:jc w:val="center"/>
        <w:rPr>
          <w:rFonts w:ascii="arial" w:eastAsia="arial" w:hAnsi="arial" w:cs="arial"/>
          <w:sz w:val="20"/>
          <w:lang w:val="en-US" w:eastAsia="en-US" w:bidi="ar-SA"/>
        </w:rPr>
      </w:pPr>
      <w:r>
        <w:rPr>
          <w:rFonts w:ascii="arial" w:eastAsia="arial" w:hAnsi="arial" w:cs="arial"/>
          <w:b/>
          <w:color w:val="000000"/>
          <w:sz w:val="20"/>
          <w:lang w:val="en-US" w:eastAsia="en-US" w:bidi="ar-SA"/>
        </w:rPr>
        <w:t>FOR THE NINTH CIRCUIT</w:t>
      </w:r>
    </w:p>
    <w:p>
      <w:pPr>
        <w:spacing w:before="240" w:line="260" w:lineRule="atLeast"/>
        <w:ind w:left="360"/>
        <w:jc w:val="center"/>
        <w:rPr>
          <w:rFonts w:ascii="arial" w:eastAsia="arial" w:hAnsi="arial" w:cs="arial"/>
          <w:sz w:val="20"/>
          <w:lang w:val="en-US" w:eastAsia="en-US" w:bidi="ar-SA"/>
        </w:rPr>
      </w:pPr>
      <w:r>
        <w:rPr>
          <w:rFonts w:ascii="arial" w:eastAsia="arial" w:hAnsi="arial" w:cs="arial"/>
          <w:b/>
          <w:color w:val="000000"/>
          <w:sz w:val="20"/>
          <w:lang w:val="en-US" w:eastAsia="en-US" w:bidi="ar-SA"/>
        </w:rPr>
        <w:t>______________________</w:t>
      </w:r>
      <w:r>
        <w:rPr>
          <w:rFonts w:ascii="arial" w:eastAsia="arial" w:hAnsi="arial" w:cs="arial"/>
          <w:b/>
          <w:color w:val="000000"/>
          <w:sz w:val="20"/>
          <w:lang w:val="en-US" w:eastAsia="en-US" w:bidi="ar-SA"/>
        </w:rPr>
        <w:t xml:space="preserve">NA, A# </w:t>
      </w:r>
      <w:r>
        <w:rPr>
          <w:rFonts w:ascii="arial" w:eastAsia="arial" w:hAnsi="arial" w:cs="arial"/>
          <w:b/>
          <w:color w:val="000000"/>
          <w:sz w:val="20"/>
          <w:lang w:val="en-US" w:eastAsia="en-US" w:bidi="ar-SA"/>
        </w:rPr>
        <w:t>______________________</w:t>
      </w:r>
      <w:r>
        <w:rPr>
          <w:rFonts w:ascii="arial" w:eastAsia="arial" w:hAnsi="arial" w:cs="arial"/>
          <w:b/>
          <w:color w:val="000000"/>
          <w:sz w:val="20"/>
          <w:lang w:val="en-US" w:eastAsia="en-US" w:bidi="ar-SA"/>
        </w:rPr>
        <w:t>, an individual,</w:t>
      </w:r>
    </w:p>
    <w:p>
      <w:pPr>
        <w:spacing w:before="240" w:line="260" w:lineRule="atLeast"/>
        <w:ind w:left="360"/>
        <w:jc w:val="center"/>
        <w:rPr>
          <w:rFonts w:ascii="arial" w:eastAsia="arial" w:hAnsi="arial" w:cs="arial"/>
          <w:sz w:val="20"/>
          <w:lang w:val="en-US" w:eastAsia="en-US" w:bidi="ar-SA"/>
        </w:rPr>
      </w:pPr>
      <w:r>
        <w:rPr>
          <w:rFonts w:ascii="arial" w:eastAsia="arial" w:hAnsi="arial" w:cs="arial"/>
          <w:b/>
          <w:i/>
          <w:color w:val="000000"/>
          <w:sz w:val="20"/>
          <w:lang w:val="en-US" w:eastAsia="en-US" w:bidi="ar-SA"/>
        </w:rPr>
        <w:t>Petitioner-Appellant,</w:t>
      </w:r>
    </w:p>
    <w:p>
      <w:pPr>
        <w:spacing w:before="240" w:line="260" w:lineRule="atLeast"/>
        <w:ind w:left="360"/>
        <w:jc w:val="center"/>
        <w:rPr>
          <w:rFonts w:ascii="arial" w:eastAsia="arial" w:hAnsi="arial" w:cs="arial"/>
          <w:sz w:val="20"/>
          <w:lang w:val="en-US" w:eastAsia="en-US" w:bidi="ar-SA"/>
        </w:rPr>
      </w:pPr>
      <w:r>
        <w:rPr>
          <w:rFonts w:ascii="arial" w:eastAsia="arial" w:hAnsi="arial" w:cs="arial"/>
          <w:b/>
          <w:color w:val="000000"/>
          <w:sz w:val="20"/>
          <w:lang w:val="en-US" w:eastAsia="en-US" w:bidi="ar-SA"/>
        </w:rPr>
        <w:t>v.</w:t>
      </w:r>
    </w:p>
    <w:p>
      <w:pPr>
        <w:spacing w:before="240" w:line="260" w:lineRule="atLeast"/>
        <w:ind w:left="360"/>
        <w:jc w:val="center"/>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ALBERTO GONZALES, in his official capacity as Attorney General of the United States; MICHAEL CHERTOFF, in his official capacity as Secretary of the U.S. Department of Homeland Security; MICHAEL J. GARCIA, in his official capacity as Assistant Secretary of U.S. Immigration and Customs Enforcement; </w:t>
      </w:r>
      <w:r>
        <w:rPr>
          <w:rFonts w:ascii="arial" w:eastAsia="arial" w:hAnsi="arial" w:cs="arial"/>
          <w:b/>
          <w:color w:val="000000"/>
          <w:sz w:val="20"/>
          <w:lang w:val="en-US" w:eastAsia="en-US" w:bidi="ar-SA"/>
        </w:rPr>
        <w:t>______________________</w:t>
      </w:r>
      <w:r>
        <w:rPr>
          <w:rFonts w:ascii="arial" w:eastAsia="arial" w:hAnsi="arial" w:cs="arial"/>
          <w:b/>
          <w:color w:val="000000"/>
          <w:sz w:val="20"/>
          <w:lang w:val="en-US" w:eastAsia="en-US" w:bidi="ar-SA"/>
        </w:rPr>
        <w:t xml:space="preserve"> SR, in his official capacity as </w:t>
      </w:r>
      <w:r>
        <w:rPr>
          <w:rFonts w:ascii="arial" w:eastAsia="arial" w:hAnsi="arial" w:cs="arial"/>
          <w:b/>
          <w:color w:val="000000"/>
          <w:sz w:val="20"/>
          <w:lang w:val="en-US" w:eastAsia="en-US" w:bidi="ar-SA"/>
        </w:rPr>
        <w:t>______________________</w:t>
      </w:r>
      <w:r>
        <w:rPr>
          <w:rFonts w:ascii="arial" w:eastAsia="arial" w:hAnsi="arial" w:cs="arial"/>
          <w:b/>
          <w:color w:val="000000"/>
          <w:sz w:val="20"/>
          <w:lang w:val="en-US" w:eastAsia="en-US" w:bidi="ar-SA"/>
        </w:rPr>
        <w:t xml:space="preserve"> District Director of U.S. Immigration and Customs Enforcement; </w:t>
      </w:r>
      <w:r>
        <w:rPr>
          <w:rFonts w:ascii="arial" w:eastAsia="arial" w:hAnsi="arial" w:cs="arial"/>
          <w:b/>
          <w:color w:val="000000"/>
          <w:sz w:val="20"/>
          <w:lang w:val="en-US" w:eastAsia="en-US" w:bidi="ar-SA"/>
        </w:rPr>
        <w:t>______________________</w:t>
      </w:r>
      <w:r>
        <w:rPr>
          <w:rFonts w:ascii="arial" w:eastAsia="arial" w:hAnsi="arial" w:cs="arial"/>
          <w:b/>
          <w:color w:val="000000"/>
          <w:sz w:val="20"/>
          <w:lang w:val="en-US" w:eastAsia="en-US" w:bidi="ar-SA"/>
        </w:rPr>
        <w:t xml:space="preserve">NH, in his official capacity as Officer-in-Charge of Detention and Removal Operations of U.S. Immigration and Customs Enforcement; </w:t>
      </w:r>
      <w:r>
        <w:rPr>
          <w:rFonts w:ascii="arial" w:eastAsia="arial" w:hAnsi="arial" w:cs="arial"/>
          <w:b/>
          <w:color w:val="000000"/>
          <w:sz w:val="20"/>
          <w:lang w:val="en-US" w:eastAsia="en-US" w:bidi="ar-SA"/>
        </w:rPr>
        <w:t>______________________</w:t>
      </w:r>
      <w:r>
        <w:rPr>
          <w:rFonts w:ascii="arial" w:eastAsia="arial" w:hAnsi="arial" w:cs="arial"/>
          <w:b/>
          <w:color w:val="000000"/>
          <w:sz w:val="20"/>
          <w:lang w:val="en-US" w:eastAsia="en-US" w:bidi="ar-SA"/>
        </w:rPr>
        <w:t xml:space="preserve">, in her official capacity as Warden of the </w:t>
      </w:r>
      <w:r>
        <w:rPr>
          <w:rFonts w:ascii="arial" w:eastAsia="arial" w:hAnsi="arial" w:cs="arial"/>
          <w:b/>
          <w:color w:val="000000"/>
          <w:sz w:val="20"/>
          <w:lang w:val="en-US" w:eastAsia="en-US" w:bidi="ar-SA"/>
        </w:rPr>
        <w:t>______________________</w:t>
      </w:r>
      <w:r>
        <w:rPr>
          <w:rFonts w:ascii="arial" w:eastAsia="arial" w:hAnsi="arial" w:cs="arial"/>
          <w:b/>
          <w:color w:val="000000"/>
          <w:sz w:val="20"/>
          <w:lang w:val="en-US" w:eastAsia="en-US" w:bidi="ar-SA"/>
        </w:rPr>
        <w:t xml:space="preserve"> Detention Facility,</w:t>
      </w:r>
    </w:p>
    <w:p>
      <w:pPr>
        <w:spacing w:before="240" w:line="260" w:lineRule="atLeast"/>
        <w:ind w:left="360"/>
        <w:jc w:val="center"/>
        <w:rPr>
          <w:rFonts w:ascii="arial" w:eastAsia="arial" w:hAnsi="arial" w:cs="arial"/>
          <w:sz w:val="20"/>
          <w:lang w:val="en-US" w:eastAsia="en-US" w:bidi="ar-SA"/>
        </w:rPr>
      </w:pPr>
      <w:r>
        <w:rPr>
          <w:rFonts w:ascii="arial" w:eastAsia="arial" w:hAnsi="arial" w:cs="arial"/>
          <w:b/>
          <w:i/>
          <w:color w:val="000000"/>
          <w:sz w:val="20"/>
          <w:lang w:val="en-US" w:eastAsia="en-US" w:bidi="ar-SA"/>
        </w:rPr>
        <w:t>Respondents-Appellees.</w:t>
      </w:r>
    </w:p>
    <w:p>
      <w:pPr>
        <w:spacing w:before="240" w:line="260" w:lineRule="atLeast"/>
        <w:ind w:left="360"/>
        <w:jc w:val="center"/>
        <w:rPr>
          <w:rFonts w:ascii="arial" w:eastAsia="arial" w:hAnsi="arial" w:cs="arial"/>
          <w:sz w:val="20"/>
          <w:lang w:val="en-US" w:eastAsia="en-US" w:bidi="ar-SA"/>
        </w:rPr>
      </w:pPr>
      <w:r>
        <w:rPr>
          <w:rFonts w:ascii="arial" w:eastAsia="arial" w:hAnsi="arial" w:cs="arial"/>
          <w:b/>
          <w:color w:val="000000"/>
          <w:sz w:val="20"/>
          <w:lang w:val="en-US" w:eastAsia="en-US" w:bidi="ar-SA"/>
        </w:rPr>
        <w:t>MOTION TO EXPEDITE HEARING AND DISPOSITION AND FOR RELEASE PENDING APPEAL UNDER NINTH CIR. R. 27-12</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Attorney Name, SBN [Number]</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Firm or Organization Name</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Street Address</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City, State, ZIP Code</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Telephone Number</w:t>
      </w:r>
    </w:p>
    <w:p>
      <w:pPr>
        <w:spacing w:before="120" w:line="260" w:lineRule="atLeast"/>
        <w:ind w:left="360"/>
        <w:rPr>
          <w:rFonts w:ascii="arial" w:eastAsia="arial" w:hAnsi="arial" w:cs="arial"/>
          <w:sz w:val="20"/>
          <w:lang w:val="en-US" w:eastAsia="en-US" w:bidi="ar-SA"/>
        </w:rPr>
      </w:pPr>
      <w:r>
        <w:rPr>
          <w:rFonts w:ascii="arial" w:eastAsia="arial" w:hAnsi="arial" w:cs="arial"/>
          <w:color w:val="000000"/>
          <w:sz w:val="20"/>
          <w:lang w:val="en-US" w:eastAsia="en-US" w:bidi="ar-SA"/>
        </w:rPr>
        <w:t>Fax Number</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Appellant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 respectfully moves to expedite the briefing schedule and argument in this appeal and also respectfully requests that he be released pending its ultimate disposition, pursuant to Ninth Circuit Rule 27-12.</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is a torture victim who has been detained for four years, even though he has twice won asylum before an Immigration Judge. He is currently detained in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California, while the government appeals the second Immigration Judge order granting him asylum. The government has refused to release him on bond pending appeal because it claims that he is a national security threat, even though the Immigration Judge has rejected that claim twice.</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the government refused to release him after he won asylum for the second time, he filed this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seeking his release. He argued, </w:t>
      </w:r>
      <w:r>
        <w:rPr>
          <w:rFonts w:ascii="arial" w:eastAsia="arial" w:hAnsi="arial" w:cs="arial"/>
          <w:i/>
          <w:color w:val="000000"/>
          <w:sz w:val="20"/>
          <w:lang w:val="en-US" w:eastAsia="en-US" w:bidi="ar-SA"/>
        </w:rPr>
        <w:t>inter alia,</w:t>
      </w:r>
      <w:r>
        <w:rPr>
          <w:rFonts w:ascii="arial" w:eastAsia="arial" w:hAnsi="arial" w:cs="arial"/>
          <w:color w:val="000000"/>
          <w:sz w:val="20"/>
          <w:lang w:val="en-US" w:eastAsia="en-US" w:bidi="ar-SA"/>
        </w:rPr>
        <w:t xml:space="preserve"> that his detention violated the immigration laws and the Constitution because it had become unduly prolonged under </w:t>
      </w:r>
      <w:hyperlink r:id="rId24" w:history="1">
        <w:r>
          <w:rPr>
            <w:rFonts w:ascii="arial" w:eastAsia="arial" w:hAnsi="arial" w:cs="arial"/>
            <w:i/>
            <w:color w:val="0077CC"/>
            <w:sz w:val="20"/>
            <w:u w:val="single"/>
            <w:shd w:val="clear" w:color="auto" w:fill="FFFFFF"/>
            <w:lang w:val="en-US" w:eastAsia="en-US" w:bidi="ar-SA"/>
          </w:rPr>
          <w:t>Zadvydas v. Davis,</w:t>
        </w:r>
      </w:hyperlink>
      <w:hyperlink r:id="rId24" w:history="1">
        <w:r>
          <w:rPr>
            <w:rFonts w:ascii="arial" w:eastAsia="arial" w:hAnsi="arial" w:cs="arial"/>
            <w:i/>
            <w:color w:val="0077CC"/>
            <w:sz w:val="20"/>
            <w:u w:val="single"/>
            <w:shd w:val="clear" w:color="auto" w:fill="FFFFFF"/>
            <w:lang w:val="en-US" w:eastAsia="en-US" w:bidi="ar-SA"/>
          </w:rPr>
          <w:t xml:space="preserve"> 533 U.S. 678, 690 (2001)</w:t>
        </w:r>
      </w:hyperlink>
      <w:r>
        <w:rPr>
          <w:rFonts w:ascii="arial" w:eastAsia="arial" w:hAnsi="arial" w:cs="arial"/>
          <w:color w:val="000000"/>
          <w:sz w:val="20"/>
          <w:lang w:val="en-US" w:eastAsia="en-US" w:bidi="ar-SA"/>
        </w:rPr>
        <w:t xml:space="preserve"> (holding detention longer than six months of aliens ordered removed generally not authorized by statute because of significant constitutional problems posed by prolonged immigration detention). He also sought release pending disposition of the petition. While his case was under submission, the Supreme Court applied the rule of </w:t>
      </w:r>
      <w:r>
        <w:rPr>
          <w:rFonts w:ascii="arial" w:eastAsia="arial" w:hAnsi="arial" w:cs="arial"/>
          <w:i/>
          <w:color w:val="000000"/>
          <w:sz w:val="20"/>
          <w:lang w:val="en-US" w:eastAsia="en-US" w:bidi="ar-SA"/>
        </w:rPr>
        <w:t>Zadvydas</w:t>
      </w:r>
      <w:r>
        <w:rPr>
          <w:rFonts w:ascii="arial" w:eastAsia="arial" w:hAnsi="arial" w:cs="arial"/>
          <w:color w:val="000000"/>
          <w:sz w:val="20"/>
          <w:lang w:val="en-US" w:eastAsia="en-US" w:bidi="ar-SA"/>
        </w:rPr>
        <w:t xml:space="preserve"> to aliens who, like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were not admitted to the United States prior to their being detained. </w:t>
      </w:r>
      <w:r>
        <w:rPr>
          <w:rFonts w:ascii="arial" w:eastAsia="arial" w:hAnsi="arial" w:cs="arial"/>
          <w:i/>
          <w:color w:val="000000"/>
          <w:sz w:val="20"/>
          <w:lang w:val="en-US" w:eastAsia="en-US" w:bidi="ar-SA"/>
        </w:rPr>
        <w:t xml:space="preserve">See </w:t>
      </w:r>
      <w:hyperlink r:id="rId25" w:history="1">
        <w:r>
          <w:rPr>
            <w:rFonts w:ascii="arial" w:eastAsia="arial" w:hAnsi="arial" w:cs="arial"/>
            <w:i/>
            <w:color w:val="0077CC"/>
            <w:sz w:val="20"/>
            <w:u w:val="single"/>
            <w:shd w:val="clear" w:color="auto" w:fill="FFFFFF"/>
            <w:lang w:val="en-US" w:eastAsia="en-US" w:bidi="ar-SA"/>
          </w:rPr>
          <w:t>Clark v. Martinez,</w:t>
        </w:r>
      </w:hyperlink>
      <w:hyperlink r:id="rId25" w:history="1">
        <w:r>
          <w:rPr>
            <w:rFonts w:ascii="arial" w:eastAsia="arial" w:hAnsi="arial" w:cs="arial"/>
            <w:i/>
            <w:color w:val="0077CC"/>
            <w:sz w:val="20"/>
            <w:u w:val="single"/>
            <w:shd w:val="clear" w:color="auto" w:fill="FFFFFF"/>
            <w:lang w:val="en-US" w:eastAsia="en-US" w:bidi="ar-SA"/>
          </w:rPr>
          <w:t xml:space="preserve"> 543 U.S.371 (2004)</w:t>
        </w:r>
      </w:hyperlink>
      <w:r>
        <w:rPr>
          <w:rFonts w:ascii="arial" w:eastAsia="arial" w:hAnsi="arial" w:cs="arial"/>
          <w:color w:val="000000"/>
          <w:sz w:val="20"/>
          <w:lang w:val="en-US" w:eastAsia="en-US" w:bidi="ar-SA"/>
        </w:rPr>
        <w:t xml:space="preserve">  (applying </w:t>
      </w:r>
      <w:r>
        <w:rPr>
          <w:rFonts w:ascii="arial" w:eastAsia="arial" w:hAnsi="arial" w:cs="arial"/>
          <w:i/>
          <w:color w:val="000000"/>
          <w:sz w:val="20"/>
          <w:lang w:val="en-US" w:eastAsia="en-US" w:bidi="ar-SA"/>
        </w:rPr>
        <w:t>Zadvydas'</w:t>
      </w:r>
      <w:r>
        <w:rPr>
          <w:rFonts w:ascii="arial" w:eastAsia="arial" w:hAnsi="arial" w:cs="arial"/>
          <w:color w:val="000000"/>
          <w:sz w:val="20"/>
          <w:lang w:val="en-US" w:eastAsia="en-US" w:bidi="ar-SA"/>
        </w:rPr>
        <w:t xml:space="preserve"> six-month rule to aliens seeking admission).</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district court failed to decide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for over a year.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then brought a mandamus action in this Court, seeking an order requiring the district court to decide his petition.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[name of petitioner's case in district court] (No. </w:t>
      </w:r>
      <w:r>
        <w:rPr>
          <w:rFonts w:ascii="arial" w:eastAsia="arial" w:hAnsi="arial" w:cs="arial"/>
          <w:color w:val="000000"/>
          <w:sz w:val="20"/>
          <w:lang w:val="en-US" w:eastAsia="en-US" w:bidi="ar-SA"/>
        </w:rPr>
        <w:t>____________</w:t>
      </w:r>
      <w:r>
        <w:rPr>
          <w:rFonts w:ascii="arial" w:eastAsia="arial" w:hAnsi="arial" w:cs="arial"/>
          <w:color w:val="000000"/>
          <w:sz w:val="20"/>
          <w:lang w:val="en-US" w:eastAsia="en-US" w:bidi="ar-SA"/>
        </w:rPr>
        <w:t xml:space="preserve">). Approximately two weeks after that action was filed, the district court denied the petition.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now appeals from that decision, requests expedited consideration of his appeal, and renews his request for release pending resolution of the petition.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 would agree to any release conditions deemed suitable by this Court, including electronic monitoring or other equally intensive supervision.</w:t>
      </w:r>
      <w:r>
        <w:rPr>
          <w:rFonts w:ascii="arial" w:eastAsia="arial" w:hAnsi="arial" w:cs="arial"/>
          <w:sz w:val="20"/>
          <w:vertAlign w:val="superscript"/>
          <w:lang w:val="en-US" w:eastAsia="en-US" w:bidi="ar-SA"/>
        </w:rPr>
        <w:footnoteReference w:customMarkFollows="1" w:id="0"/>
        <w:t xml:space="preserve">1</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 PROCEDURAL HISTORY</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 NA, a Sri Lankan citizen, fled Sri Lanka in [month, year] after being severely tortured by Sri Lankan government officials.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Exhibit 1 at 2 (District Court Decision) Exhibit 2 at 40–43 (Immigration Judge's first decision describing horrific torture suffered by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 Exhibit 3 at 76 (psychiatric report, describing cigarette burn marks on his body and post-traumatic stress disorder symptoms)</w:t>
      </w:r>
      <w:r>
        <w:rPr>
          <w:rFonts w:ascii="arial" w:eastAsia="arial" w:hAnsi="arial" w:cs="arial"/>
          <w:sz w:val="20"/>
          <w:vertAlign w:val="superscript"/>
          <w:lang w:val="en-US" w:eastAsia="en-US" w:bidi="ar-SA"/>
        </w:rPr>
        <w:footnoteReference w:customMarkFollows="1" w:id="1"/>
        <w:t xml:space="preserve">2</w:t>
      </w:r>
      <w:r>
        <w:rPr>
          <w:rFonts w:ascii="arial" w:eastAsia="arial" w:hAnsi="arial" w:cs="arial"/>
          <w:color w:val="000000"/>
          <w:sz w:val="20"/>
          <w:lang w:val="en-US" w:eastAsia="en-US" w:bidi="ar-SA"/>
        </w:rPr>
        <w:t xml:space="preserve"> U.S. immigration officials at the U.S.–Mexico border detained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 when he attempted to enter the United States. He has been in government custody ever since.</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 NA expressed his intent to apply for asylum after he arrived at the border, and thereafter was placed in removal proceedings. The government opposed his asylum claim, arguing first that he associated with members of a terrorist organization and later that he is a member of such an organization. However, the Immigration Judge found those claims implausible and granted him asylum.</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After the Immigration Judge's decision granting asylum, the government filed a motion to reopen with the Board of Immigration Appeals, arguing that it should be allowed to present the testimony of a special agent working on the case. The government made no showing that the agent's testimony was unavailable at the original hearing, and in fact the agent's declaration made clear that he was in possession of the relevant information prior to that hearing. Nonetheless, the Board remanded the case to allow the government to present more evidence in support of its allegations.</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Upon remand, the Immigration Judge held a lengthy hearing during which the government agent testified at length and was subject to extensive cross-examination about the terrorism allegations. After the hearing, the Judge found the terrorism claims implausible and again granted asylum.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Exhibit 4 (Immigration Judge's second decision granting asylum).</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government again appealed and again refused to release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 pending appeal. That appeal has been pending before the BIA for over one year.</w:t>
      </w:r>
      <w:r>
        <w:rPr>
          <w:rFonts w:ascii="arial" w:eastAsia="arial" w:hAnsi="arial" w:cs="arial"/>
          <w:sz w:val="20"/>
          <w:vertAlign w:val="superscript"/>
          <w:lang w:val="en-US" w:eastAsia="en-US" w:bidi="ar-SA"/>
        </w:rPr>
        <w:footnoteReference w:customMarkFollows="1" w:id="2"/>
        <w:t xml:space="preserve">3</w:t>
      </w:r>
      <w:r>
        <w:rPr>
          <w:rFonts w:ascii="arial" w:eastAsia="arial" w:hAnsi="arial" w:cs="arial"/>
          <w:color w:val="000000"/>
          <w:sz w:val="20"/>
          <w:lang w:val="en-US" w:eastAsia="en-US" w:bidi="ar-SA"/>
        </w:rPr>
        <w:t xml:space="preserve">As a result of these proceedings,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 remains detained, now four years after he fled his torturers in Sri Lanka and arrived in the United States.</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 [e.g. September 24, 2004],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filed the instant petition for a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with the United States District Court for the Southern District of California. The court denied the petition over one year later, on [e.g. October 28, 2005]. The district court did not evaluate the truth of the allegations against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even under a deferential standard of review, ruling instead that it could not ``second-guess[]'' the decision of the government to detain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for four years, despite the length of detention and despite the Immigration Judge having rejected the factual predicate for the government's detention order.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Exhibit I at 6.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 now appeals from that decision.</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II. EXPEDITED CONSIDERATION IS WARRANTED</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This appeal warrants expedited consideration. The Circuit's rules authorize expedited consideration for good cause, and the circumstances of this case easily satisfy that requirement.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Circuit Rule 27-12.</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Circuit rules explicitly authorize expedited consideration in the criminal context where a defendant may unnecessarily serve time for a conviction or sentence ultimately found unlawful on appeal.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Circuit Rule 27-12 (1) and (2). Although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is not accused of any crime, his petition presents a similar circumstance; he raises a substantial argument that he is being subject to unauthorized detention each day that his appeal remains pending, because it has extended far beyond the six month period recognized by the Supreme Court's decisions in </w:t>
      </w:r>
      <w:r>
        <w:rPr>
          <w:rFonts w:ascii="arial" w:eastAsia="arial" w:hAnsi="arial" w:cs="arial"/>
          <w:i/>
          <w:color w:val="000000"/>
          <w:sz w:val="20"/>
          <w:lang w:val="en-US" w:eastAsia="en-US" w:bidi="ar-SA"/>
        </w:rPr>
        <w:t>Zadvydas</w:t>
      </w:r>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 xml:space="preserve">Clark. See </w:t>
      </w:r>
      <w:hyperlink r:id="rId24" w:history="1">
        <w:r>
          <w:rPr>
            <w:rFonts w:ascii="arial" w:eastAsia="arial" w:hAnsi="arial" w:cs="arial"/>
            <w:i/>
            <w:color w:val="0077CC"/>
            <w:sz w:val="20"/>
            <w:u w:val="single"/>
            <w:shd w:val="clear" w:color="auto" w:fill="FFFFFF"/>
            <w:lang w:val="en-US" w:eastAsia="en-US" w:bidi="ar-SA"/>
          </w:rPr>
          <w:t>Zadvydas,</w:t>
        </w:r>
      </w:hyperlink>
      <w:hyperlink r:id="rId24" w:history="1">
        <w:r>
          <w:rPr>
            <w:rFonts w:ascii="arial" w:eastAsia="arial" w:hAnsi="arial" w:cs="arial"/>
            <w:i/>
            <w:color w:val="0077CC"/>
            <w:sz w:val="20"/>
            <w:u w:val="single"/>
            <w:shd w:val="clear" w:color="auto" w:fill="FFFFFF"/>
            <w:lang w:val="en-US" w:eastAsia="en-US" w:bidi="ar-SA"/>
          </w:rPr>
          <w:t xml:space="preserve"> 533 U.S. at 701</w:t>
        </w:r>
      </w:hyperlink>
      <w:r>
        <w:rPr>
          <w:rFonts w:ascii="arial" w:eastAsia="arial" w:hAnsi="arial" w:cs="arial"/>
          <w:color w:val="000000"/>
          <w:sz w:val="20"/>
          <w:lang w:val="en-US" w:eastAsia="en-US" w:bidi="ar-SA"/>
        </w:rPr>
        <w:t xml:space="preserve">; </w:t>
      </w:r>
      <w:hyperlink r:id="rId25" w:history="1">
        <w:r>
          <w:rPr>
            <w:rFonts w:ascii="arial" w:eastAsia="arial" w:hAnsi="arial" w:cs="arial"/>
            <w:i/>
            <w:color w:val="0077CC"/>
            <w:sz w:val="20"/>
            <w:u w:val="single"/>
            <w:shd w:val="clear" w:color="auto" w:fill="FFFFFF"/>
            <w:lang w:val="en-US" w:eastAsia="en-US" w:bidi="ar-SA"/>
          </w:rPr>
          <w:t>Clark,</w:t>
        </w:r>
      </w:hyperlink>
      <w:hyperlink r:id="rId25" w:history="1">
        <w:r>
          <w:rPr>
            <w:rFonts w:ascii="arial" w:eastAsia="arial" w:hAnsi="arial" w:cs="arial"/>
            <w:i/>
            <w:color w:val="0077CC"/>
            <w:sz w:val="20"/>
            <w:u w:val="single"/>
            <w:shd w:val="clear" w:color="auto" w:fill="FFFFFF"/>
            <w:lang w:val="en-US" w:eastAsia="en-US" w:bidi="ar-SA"/>
          </w:rPr>
          <w:t xml:space="preserve"> 125 S. Ct. at 727–28</w:t>
        </w:r>
      </w:hyperlink>
      <w:r>
        <w:rPr>
          <w:rFonts w:ascii="arial" w:eastAsia="arial" w:hAnsi="arial" w:cs="arial"/>
          <w:color w:val="000000"/>
          <w:sz w:val="20"/>
          <w:lang w:val="en-US" w:eastAsia="en-US" w:bidi="ar-SA"/>
        </w:rPr>
        <w:t>. As such, expedited consideration of his claim would be analogous to a claim by a criminal defendant that his conviction or sentence is unlawful and will expire prior to resolution of the appeal (in less than twelve months).</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Relatedly, prompt consideration of his claim is necessary to give effect to the function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as an expeditious remedy. </w:t>
      </w:r>
      <w:r>
        <w:rPr>
          <w:rFonts w:ascii="arial" w:eastAsia="arial" w:hAnsi="arial" w:cs="arial"/>
          <w:i/>
          <w:color w:val="000000"/>
          <w:sz w:val="20"/>
          <w:lang w:val="en-US" w:eastAsia="en-US" w:bidi="ar-SA"/>
        </w:rPr>
        <w:t xml:space="preserve">cf. </w:t>
      </w:r>
      <w:hyperlink r:id="rId26" w:history="1">
        <w:r>
          <w:rPr>
            <w:rFonts w:ascii="arial" w:eastAsia="arial" w:hAnsi="arial" w:cs="arial"/>
            <w:i/>
            <w:color w:val="0077CC"/>
            <w:sz w:val="20"/>
            <w:u w:val="single"/>
            <w:shd w:val="clear" w:color="auto" w:fill="FFFFFF"/>
            <w:lang w:val="en-US" w:eastAsia="en-US" w:bidi="ar-SA"/>
          </w:rPr>
          <w:t>Hoeun Yong v. Immigration and Naturalization Service,</w:t>
        </w:r>
      </w:hyperlink>
      <w:hyperlink r:id="rId26" w:history="1">
        <w:r>
          <w:rPr>
            <w:rFonts w:ascii="arial" w:eastAsia="arial" w:hAnsi="arial" w:cs="arial"/>
            <w:i/>
            <w:color w:val="0077CC"/>
            <w:sz w:val="20"/>
            <w:u w:val="single"/>
            <w:shd w:val="clear" w:color="auto" w:fill="FFFFFF"/>
            <w:lang w:val="en-US" w:eastAsia="en-US" w:bidi="ar-SA"/>
          </w:rPr>
          <w:t xml:space="preserve"> 208 F.3d 1116, 1120 (9th Cir. 2000)</w:t>
        </w:r>
      </w:hyperlink>
      <w:r>
        <w:rPr>
          <w:rFonts w:ascii="arial" w:eastAsia="arial" w:hAnsi="arial" w:cs="arial"/>
          <w:color w:val="000000"/>
          <w:sz w:val="20"/>
          <w:lang w:val="en-US" w:eastAsia="en-US" w:bidi="ar-SA"/>
        </w:rPr>
        <w:t xml:space="preserve"> (``The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challenging the illegality of detention, is reduced to a sham if the trial courts do not act within a reasonable time.''). Indeed, </w:t>
      </w:r>
      <w:hyperlink r:id="rId20" w:history="1">
        <w:r>
          <w:rPr>
            <w:rFonts w:ascii="arial" w:eastAsia="arial" w:hAnsi="arial" w:cs="arial"/>
            <w:color w:val="000000"/>
            <w:sz w:val="20"/>
            <w:lang w:val="en-US" w:eastAsia="en-US" w:bidi="ar-SA"/>
          </w:rPr>
          <w:t>28 U.S.C. §</w:t>
        </w:r>
        <w:r>
          <w:rPr>
            <w:rFonts w:ascii="arial" w:eastAsia="arial" w:hAnsi="arial" w:cs="arial"/>
            <w:color w:val="000000"/>
            <w:sz w:val="20"/>
            <w:lang w:val="en-US" w:eastAsia="en-US" w:bidi="ar-SA"/>
          </w:rPr>
          <w:t> </w:t>
        </w:r>
        <w:r>
          <w:rPr>
            <w:rFonts w:ascii="arial" w:eastAsia="arial" w:hAnsi="arial" w:cs="arial"/>
            <w:i/>
            <w:color w:val="0077CC"/>
            <w:sz w:val="20"/>
            <w:u w:val="single"/>
            <w:shd w:val="clear" w:color="auto" w:fill="FFFFFF"/>
            <w:lang w:val="en-US" w:eastAsia="en-US" w:bidi="ar-SA"/>
          </w:rPr>
          <w:t>2243</w:t>
        </w:r>
      </w:hyperlink>
      <w:r>
        <w:rPr>
          <w:rFonts w:ascii="arial" w:eastAsia="arial" w:hAnsi="arial" w:cs="arial"/>
          <w:color w:val="000000"/>
          <w:sz w:val="20"/>
          <w:lang w:val="en-US" w:eastAsia="en-US" w:bidi="ar-SA"/>
        </w:rPr>
        <w:t xml:space="preserve"> requires courts to decide petitions for writs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with all possible speed. While the statute provides no fixed timeline for decision, either in the first instance or on appeal, it is clear from the statutory context that quick resolution is favored.</w:t>
      </w:r>
      <w:r>
        <w:rPr>
          <w:rFonts w:ascii="arial" w:eastAsia="arial" w:hAnsi="arial" w:cs="arial"/>
          <w:color w:val="000000"/>
          <w:sz w:val="20"/>
          <w:vertAlign w:val="superscript"/>
          <w:lang w:val="en-US" w:eastAsia="en-US" w:bidi="ar-SA"/>
        </w:rPr>
        <w:t>4</w:t>
      </w:r>
      <w:r>
        <w:rPr>
          <w:rFonts w:ascii="arial" w:eastAsia="arial" w:hAnsi="arial" w:cs="arial"/>
          <w:sz w:val="20"/>
          <w:vertAlign w:val="superscript"/>
          <w:lang w:val="en-US" w:eastAsia="en-US" w:bidi="ar-SA"/>
        </w:rPr>
        <w:footnoteReference w:customMarkFollows="1" w:id="3"/>
        <w:t xml:space="preserve">4</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addition, the justification for prompt consideration is particularly strong in this case, for two reasons. First,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has already been subject to excessive delays in the resolution of his case. The district court waited over one year to decide his petition and only decided it after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filed a mandamus petition requesting a decision. At the same time, the Board of Immigration Appeals has inordinately delayed resolution of his case on two occasions — first by remanding it to allow the government to present evidence even though that evidence was previously available, and then by failing to decide the government's second appeal of the decision granting him asylum for over one year (and counting). Thus,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 has already had to wait an extremely long time to have this Court consider his arguments for release.</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Second, the length of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NA's detention (now over four years), the fact that the factual predicate for his detention has twice been rejected by an Immigration Judge, and his worsening psychiatric condition caused by his lengthy detention,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Exhibit 3 at 77-78, all render his case highly unusual and warrant expedited consideration. It is clear that Mr.</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will suffer irreparable harm as each day of illegal confinement passes, above and beyond the normal harm suffered by people in detention.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Ninth Circuit Rule 27-12(3).</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For these reasons, Appellant respectfully requests that the Court order that this case be expedited and set the following briefing schedule:</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Appellant's Opening Brief to be due [e.g. December 20, 2005];</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Appellee's Response Brief to be due [e.g. January 20, 2006];</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Appellant's Reply Brief due fourteen (14) days from the filing of the Response Brief.</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In addition, this Court should not allow extensions of time except under extremely exceptional circumstances, and should set this case for the next available calendar.</w:t>
      </w:r>
      <w:r>
        <w:rPr>
          <w:rFonts w:ascii="arial" w:eastAsia="arial" w:hAnsi="arial" w:cs="arial"/>
          <w:sz w:val="20"/>
          <w:vertAlign w:val="superscript"/>
          <w:lang w:val="en-US" w:eastAsia="en-US" w:bidi="ar-SA"/>
        </w:rPr>
        <w:footnoteReference w:customMarkFollows="1" w:id="4"/>
        <w:t xml:space="preserve">5</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III. THIS COURT SHOULD RELEASE PETITIONER PENDING RESOLUTION OF HIS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PETITION</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requested release pending consideration of his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in the district court. The district court never ruled on the merits of the request for interim release, but denied it as moot when it denied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NA's petition on the merits.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Exhibit 1 at 12.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now respectfully requests that this Court grant his request for release pending consideration of his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on appeal.</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This Court has authority to release on bail an appellant who contends that he or she is unlawfully detained. The Circuit's rules provide that authority specifically,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Circuit Rule 27-12, and in any event the Court retains the power to do so by virtue of the general power of the federal courts to admit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petitioners to bail pending resolution of their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petitions. </w:t>
      </w:r>
      <w:r>
        <w:rPr>
          <w:rFonts w:ascii="arial" w:eastAsia="arial" w:hAnsi="arial" w:cs="arial"/>
          <w:i/>
          <w:color w:val="000000"/>
          <w:sz w:val="20"/>
          <w:lang w:val="en-US" w:eastAsia="en-US" w:bidi="ar-SA"/>
        </w:rPr>
        <w:t xml:space="preserve">See </w:t>
      </w:r>
      <w:hyperlink r:id="rId27" w:history="1">
        <w:r>
          <w:rPr>
            <w:rFonts w:ascii="arial" w:eastAsia="arial" w:hAnsi="arial" w:cs="arial"/>
            <w:i/>
            <w:color w:val="0077CC"/>
            <w:sz w:val="20"/>
            <w:u w:val="single"/>
            <w:shd w:val="clear" w:color="auto" w:fill="FFFFFF"/>
            <w:lang w:val="en-US" w:eastAsia="en-US" w:bidi="ar-SA"/>
          </w:rPr>
          <w:t>Mapp v. Reno,</w:t>
        </w:r>
      </w:hyperlink>
      <w:hyperlink r:id="rId27" w:history="1">
        <w:r>
          <w:rPr>
            <w:rFonts w:ascii="arial" w:eastAsia="arial" w:hAnsi="arial" w:cs="arial"/>
            <w:i/>
            <w:color w:val="0077CC"/>
            <w:sz w:val="20"/>
            <w:u w:val="single"/>
            <w:shd w:val="clear" w:color="auto" w:fill="FFFFFF"/>
            <w:lang w:val="en-US" w:eastAsia="en-US" w:bidi="ar-SA"/>
          </w:rPr>
          <w:t xml:space="preserve"> 241 F.3d 221, 226 (2d Cir. 2001)</w:t>
        </w:r>
      </w:hyperlink>
      <w:r>
        <w:rPr>
          <w:rFonts w:ascii="arial" w:eastAsia="arial" w:hAnsi="arial" w:cs="arial"/>
          <w:color w:val="000000"/>
          <w:sz w:val="20"/>
          <w:lang w:val="en-US" w:eastAsia="en-US" w:bidi="ar-SA"/>
        </w:rPr>
        <w:t xml:space="preserve"> (holding ``once again, that the federal courts have inherent authority to admit to bail individuals properly within their jurisdiction''); </w:t>
      </w:r>
      <w:hyperlink r:id="rId28" w:history="1">
        <w:r>
          <w:rPr>
            <w:rFonts w:ascii="arial" w:eastAsia="arial" w:hAnsi="arial" w:cs="arial"/>
            <w:i/>
            <w:color w:val="0077CC"/>
            <w:sz w:val="20"/>
            <w:u w:val="single"/>
            <w:shd w:val="clear" w:color="auto" w:fill="FFFFFF"/>
            <w:lang w:val="en-US" w:eastAsia="en-US" w:bidi="ar-SA"/>
          </w:rPr>
          <w:t xml:space="preserve">In re Chow Goo Pooi, </w:t>
        </w:r>
      </w:hyperlink>
      <w:hyperlink r:id="rId28" w:history="1">
        <w:r>
          <w:rPr>
            <w:rFonts w:ascii="arial" w:eastAsia="arial" w:hAnsi="arial" w:cs="arial"/>
            <w:i/>
            <w:color w:val="0077CC"/>
            <w:sz w:val="20"/>
            <w:u w:val="single"/>
            <w:shd w:val="clear" w:color="auto" w:fill="FFFFFF"/>
            <w:lang w:val="en-US" w:eastAsia="en-US" w:bidi="ar-SA"/>
          </w:rPr>
          <w:t>25</w:t>
        </w:r>
      </w:hyperlink>
      <w:hyperlink r:id="rId28" w:history="1">
        <w:r>
          <w:rPr>
            <w:rFonts w:ascii="arial" w:eastAsia="arial" w:hAnsi="arial" w:cs="arial"/>
            <w:i/>
            <w:color w:val="0077CC"/>
            <w:sz w:val="20"/>
            <w:u w:val="single"/>
            <w:shd w:val="clear" w:color="auto" w:fill="FFFFFF"/>
            <w:lang w:val="en-US" w:eastAsia="en-US" w:bidi="ar-SA"/>
          </w:rPr>
          <w:t xml:space="preserve"> F. 77, 78 (9th Cir. 1884)</w:t>
        </w:r>
      </w:hyperlink>
      <w:r>
        <w:rPr>
          <w:rFonts w:ascii="arial" w:eastAsia="arial" w:hAnsi="arial" w:cs="arial"/>
          <w:color w:val="000000"/>
          <w:sz w:val="20"/>
          <w:lang w:val="en-US" w:eastAsia="en-US" w:bidi="ar-SA"/>
        </w:rPr>
        <w:t xml:space="preserve"> (holding that Chinese immigrant could file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petition, and that ``the control of his person remains with the court, and that he may be committed to the custody of the marshal, or be held to bail to await the decision of the court''); </w:t>
      </w:r>
      <w:r>
        <w:rPr>
          <w:rFonts w:ascii="arial" w:eastAsia="arial" w:hAnsi="arial" w:cs="arial"/>
          <w:i/>
          <w:color w:val="000000"/>
          <w:sz w:val="20"/>
          <w:lang w:val="en-US" w:eastAsia="en-US" w:bidi="ar-SA"/>
        </w:rPr>
        <w:t xml:space="preserve">see also </w:t>
      </w:r>
      <w:hyperlink r:id="rId29" w:history="1">
        <w:r>
          <w:rPr>
            <w:rFonts w:ascii="arial" w:eastAsia="arial" w:hAnsi="arial" w:cs="arial"/>
            <w:i/>
            <w:color w:val="0077CC"/>
            <w:sz w:val="20"/>
            <w:u w:val="single"/>
            <w:shd w:val="clear" w:color="auto" w:fill="FFFFFF"/>
            <w:lang w:val="en-US" w:eastAsia="en-US" w:bidi="ar-SA"/>
          </w:rPr>
          <w:t>Chin Wah v. Colwell,</w:t>
        </w:r>
      </w:hyperlink>
      <w:hyperlink r:id="rId29" w:history="1">
        <w:r>
          <w:rPr>
            <w:rFonts w:ascii="arial" w:eastAsia="arial" w:hAnsi="arial" w:cs="arial"/>
            <w:i/>
            <w:color w:val="0077CC"/>
            <w:sz w:val="20"/>
            <w:u w:val="single"/>
            <w:shd w:val="clear" w:color="auto" w:fill="FFFFFF"/>
            <w:lang w:val="en-US" w:eastAsia="en-US" w:bidi="ar-SA"/>
          </w:rPr>
          <w:t xml:space="preserve"> 187 F. 592, 595 (9th Cir. 1911)</w:t>
        </w:r>
      </w:hyperlink>
      <w:r>
        <w:rPr>
          <w:rFonts w:ascii="arial" w:eastAsia="arial" w:hAnsi="arial" w:cs="arial"/>
          <w:color w:val="000000"/>
          <w:sz w:val="20"/>
          <w:lang w:val="en-US" w:eastAsia="en-US" w:bidi="ar-SA"/>
        </w:rPr>
        <w:t xml:space="preserve"> (holding that court has discretionary power to admit Chinese immigrants to bail pending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petitions under Chinese Exclusion laws).</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determine whether the petitioner-appellant should be admitted to bail pending resolution of his petition the Court must consider ``whether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raises substantial claims and whether extraordinary circumstances exist that make the grant of bail necessary to make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remedy effective.'' </w:t>
      </w:r>
      <w:hyperlink r:id="rId27" w:history="1">
        <w:r>
          <w:rPr>
            <w:rFonts w:ascii="arial" w:eastAsia="arial" w:hAnsi="arial" w:cs="arial"/>
            <w:i/>
            <w:color w:val="0077CC"/>
            <w:sz w:val="20"/>
            <w:u w:val="single"/>
            <w:shd w:val="clear" w:color="auto" w:fill="FFFFFF"/>
            <w:lang w:val="en-US" w:eastAsia="en-US" w:bidi="ar-SA"/>
          </w:rPr>
          <w:t>Mapp,</w:t>
        </w:r>
      </w:hyperlink>
      <w:hyperlink r:id="rId27" w:history="1">
        <w:r>
          <w:rPr>
            <w:rFonts w:ascii="arial" w:eastAsia="arial" w:hAnsi="arial" w:cs="arial"/>
            <w:i/>
            <w:color w:val="0077CC"/>
            <w:sz w:val="20"/>
            <w:u w:val="single"/>
            <w:shd w:val="clear" w:color="auto" w:fill="FFFFFF"/>
            <w:lang w:val="en-US" w:eastAsia="en-US" w:bidi="ar-SA"/>
          </w:rPr>
          <w:t xml:space="preserve"> 241 F.3d at 230</w:t>
        </w:r>
      </w:hyperlink>
      <w:r>
        <w:rPr>
          <w:rFonts w:ascii="arial" w:eastAsia="arial" w:hAnsi="arial" w:cs="arial"/>
          <w:color w:val="000000"/>
          <w:sz w:val="20"/>
          <w:lang w:val="en-US" w:eastAsia="en-US" w:bidi="ar-SA"/>
        </w:rPr>
        <w:t xml:space="preserve"> (internal quotations omitted). Here,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 satisfies these requirements.</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A. Mr. </w:t>
      </w:r>
      <w:r>
        <w:rPr>
          <w:rFonts w:ascii="arial" w:eastAsia="arial" w:hAnsi="arial" w:cs="arial"/>
          <w:b/>
          <w:color w:val="000000"/>
          <w:sz w:val="20"/>
          <w:lang w:val="en-US" w:eastAsia="en-US" w:bidi="ar-SA"/>
        </w:rPr>
        <w:t>______________________</w:t>
      </w:r>
      <w:r>
        <w:rPr>
          <w:rFonts w:ascii="arial" w:eastAsia="arial" w:hAnsi="arial" w:cs="arial"/>
          <w:b/>
          <w:color w:val="000000"/>
          <w:sz w:val="20"/>
          <w:lang w:val="en-US" w:eastAsia="en-US" w:bidi="ar-SA"/>
        </w:rPr>
        <w:t xml:space="preserve"> NA's Claims are Substantial</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NA's claims are undoubtedly substantial. His primary submission is that there is no statutory authority to detain him. In addition, he argues that, on the facts of his particular case— where the Immigration Judge has rejected the factual predicate for detaining him on national security grounds and where the national security justification is facially implausible— his prolonged detention violates due process.</w:t>
      </w:r>
    </w:p>
    <w:p>
      <w:pPr>
        <w:spacing w:before="240" w:line="260" w:lineRule="atLeast"/>
        <w:ind w:left="360"/>
        <w:jc w:val="center"/>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1. No Statute Authorizes Mr. </w:t>
      </w:r>
      <w:r>
        <w:rPr>
          <w:rFonts w:ascii="arial" w:eastAsia="arial" w:hAnsi="arial" w:cs="arial"/>
          <w:b/>
          <w:color w:val="000000"/>
          <w:sz w:val="20"/>
          <w:lang w:val="en-US" w:eastAsia="en-US" w:bidi="ar-SA"/>
        </w:rPr>
        <w:t>______________________</w:t>
      </w:r>
      <w:r>
        <w:rPr>
          <w:rFonts w:ascii="arial" w:eastAsia="arial" w:hAnsi="arial" w:cs="arial"/>
          <w:b/>
          <w:color w:val="000000"/>
          <w:sz w:val="20"/>
          <w:lang w:val="en-US" w:eastAsia="en-US" w:bidi="ar-SA"/>
        </w:rPr>
        <w:t>NA's Detention</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has been detained for four years pending completion of removal proceedings against him. Thus, his detention is clearly prolonged and potentially indefinite. The Supreme Court decided earlier this year that the statute under which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is being detained does not permit such lengthy detention, </w:t>
      </w:r>
      <w:hyperlink r:id="rId25" w:history="1">
        <w:r>
          <w:rPr>
            <w:rFonts w:ascii="arial" w:eastAsia="arial" w:hAnsi="arial" w:cs="arial"/>
            <w:i/>
            <w:color w:val="0077CC"/>
            <w:sz w:val="20"/>
            <w:u w:val="single"/>
            <w:shd w:val="clear" w:color="auto" w:fill="FFFFFF"/>
            <w:lang w:val="en-US" w:eastAsia="en-US" w:bidi="ar-SA"/>
          </w:rPr>
          <w:t>Clark v. Martinez,</w:t>
        </w:r>
      </w:hyperlink>
      <w:hyperlink r:id="rId25" w:history="1">
        <w:r>
          <w:rPr>
            <w:rFonts w:ascii="arial" w:eastAsia="arial" w:hAnsi="arial" w:cs="arial"/>
            <w:i/>
            <w:color w:val="0077CC"/>
            <w:sz w:val="20"/>
            <w:u w:val="single"/>
            <w:shd w:val="clear" w:color="auto" w:fill="FFFFFF"/>
            <w:lang w:val="en-US" w:eastAsia="en-US" w:bidi="ar-SA"/>
          </w:rPr>
          <w:t xml:space="preserve"> 125 S. Ct. 716 (2005)</w:t>
        </w:r>
      </w:hyperlink>
      <w:r>
        <w:rPr>
          <w:rFonts w:ascii="arial" w:eastAsia="arial" w:hAnsi="arial" w:cs="arial"/>
          <w:i/>
          <w:color w:val="000000"/>
          <w:sz w:val="20"/>
          <w:lang w:val="en-US" w:eastAsia="en-US" w:bidi="ar-SA"/>
        </w:rPr>
        <w:t>,</w:t>
      </w:r>
      <w:r>
        <w:rPr>
          <w:rFonts w:ascii="arial" w:eastAsia="arial" w:hAnsi="arial" w:cs="arial"/>
          <w:color w:val="000000"/>
          <w:sz w:val="20"/>
          <w:lang w:val="en-US" w:eastAsia="en-US" w:bidi="ar-SA"/>
        </w:rPr>
        <w:t xml:space="preserve"> and the force of that case is made even stronger here, where another statute, which the government has not invoked, specifically authorizes indefinite detention on national security grounds. Amazingly, the district court did not even cite either the Supreme Court decision or the indefinite detention statute in its opinion.</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NA's four-year detention is undoubtedly ``prolonged,'' given the Supreme Court's determination that detention beyond six months is presumptively unreasonable in </w:t>
      </w:r>
      <w:r>
        <w:rPr>
          <w:rFonts w:ascii="arial" w:eastAsia="arial" w:hAnsi="arial" w:cs="arial"/>
          <w:i/>
          <w:color w:val="000000"/>
          <w:sz w:val="20"/>
          <w:lang w:val="en-US" w:eastAsia="en-US" w:bidi="ar-SA"/>
        </w:rPr>
        <w:t xml:space="preserve">Zadvydas. See </w:t>
      </w:r>
      <w:hyperlink r:id="rId24" w:history="1">
        <w:r>
          <w:rPr>
            <w:rFonts w:ascii="arial" w:eastAsia="arial" w:hAnsi="arial" w:cs="arial"/>
            <w:i/>
            <w:color w:val="0077CC"/>
            <w:sz w:val="20"/>
            <w:u w:val="single"/>
            <w:shd w:val="clear" w:color="auto" w:fill="FFFFFF"/>
            <w:lang w:val="en-US" w:eastAsia="en-US" w:bidi="ar-SA"/>
          </w:rPr>
          <w:t>Zadvydas,</w:t>
        </w:r>
      </w:hyperlink>
      <w:hyperlink r:id="rId24" w:history="1">
        <w:r>
          <w:rPr>
            <w:rFonts w:ascii="arial" w:eastAsia="arial" w:hAnsi="arial" w:cs="arial"/>
            <w:i/>
            <w:color w:val="0077CC"/>
            <w:sz w:val="20"/>
            <w:u w:val="single"/>
            <w:shd w:val="clear" w:color="auto" w:fill="FFFFFF"/>
            <w:lang w:val="en-US" w:eastAsia="en-US" w:bidi="ar-SA"/>
          </w:rPr>
          <w:t xml:space="preserve"> 533 U.S. at 701</w:t>
        </w:r>
      </w:hyperlink>
      <w:r>
        <w:rPr>
          <w:rFonts w:ascii="arial" w:eastAsia="arial" w:hAnsi="arial" w:cs="arial"/>
          <w:color w:val="000000"/>
          <w:sz w:val="20"/>
          <w:lang w:val="en-US" w:eastAsia="en-US" w:bidi="ar-SA"/>
        </w:rPr>
        <w:t xml:space="preserve">. His detention is also most likely indefinite. The only country to which he could likely be removed is Sri Lanka, but it is undisputed that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was severely tortured in Sri Lanka. </w:t>
      </w:r>
      <w:r>
        <w:rPr>
          <w:rFonts w:ascii="arial" w:eastAsia="arial" w:hAnsi="arial" w:cs="arial"/>
          <w:i/>
          <w:color w:val="000000"/>
          <w:sz w:val="20"/>
          <w:lang w:val="en-US" w:eastAsia="en-US" w:bidi="ar-SA"/>
        </w:rPr>
        <w:t xml:space="preserve">See </w:t>
      </w:r>
      <w:hyperlink r:id="rId24" w:history="1">
        <w:r>
          <w:rPr>
            <w:rFonts w:ascii="arial" w:eastAsia="arial" w:hAnsi="arial" w:cs="arial"/>
            <w:i/>
            <w:color w:val="0077CC"/>
            <w:sz w:val="20"/>
            <w:u w:val="single"/>
            <w:shd w:val="clear" w:color="auto" w:fill="FFFFFF"/>
            <w:lang w:val="en-US" w:eastAsia="en-US" w:bidi="ar-SA"/>
          </w:rPr>
          <w:t>supra</w:t>
        </w:r>
      </w:hyperlink>
      <w:hyperlink r:id="rId24" w:history="1">
        <w:r>
          <w:rPr>
            <w:rFonts w:ascii="arial" w:eastAsia="arial" w:hAnsi="arial" w:cs="arial"/>
            <w:i/>
            <w:color w:val="0077CC"/>
            <w:sz w:val="20"/>
            <w:u w:val="single"/>
            <w:shd w:val="clear" w:color="auto" w:fill="FFFFFF"/>
            <w:lang w:val="en-US" w:eastAsia="en-US" w:bidi="ar-SA"/>
          </w:rPr>
          <w:t xml:space="preserve"> at 3</w:t>
        </w:r>
      </w:hyperlink>
      <w:r>
        <w:rPr>
          <w:rFonts w:ascii="arial" w:eastAsia="arial" w:hAnsi="arial" w:cs="arial"/>
          <w:color w:val="000000"/>
          <w:sz w:val="20"/>
          <w:lang w:val="en-US" w:eastAsia="en-US" w:bidi="ar-SA"/>
        </w:rPr>
        <w:t xml:space="preserve">. At his hearing, an expert (who has consulted extensively for the United States government on Sri Lanka) testified that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 would ``very likely'' be tortured upon his return to Sri Lanka. Exh. 5 at TR 227.</w:t>
      </w:r>
      <w:r>
        <w:rPr>
          <w:rFonts w:ascii="arial" w:eastAsia="arial" w:hAnsi="arial" w:cs="arial"/>
          <w:sz w:val="20"/>
          <w:vertAlign w:val="superscript"/>
          <w:lang w:val="en-US" w:eastAsia="en-US" w:bidi="ar-SA"/>
        </w:rPr>
        <w:footnoteReference w:customMarkFollows="1" w:id="5"/>
        <w:t xml:space="preserve">6</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See also </w:t>
      </w:r>
      <w:hyperlink r:id="rId30" w:history="1">
        <w:r>
          <w:rPr>
            <w:rFonts w:ascii="arial" w:eastAsia="arial" w:hAnsi="arial" w:cs="arial"/>
            <w:i/>
            <w:color w:val="0077CC"/>
            <w:sz w:val="20"/>
            <w:u w:val="single"/>
            <w:shd w:val="clear" w:color="auto" w:fill="FFFFFF"/>
            <w:lang w:val="en-US" w:eastAsia="en-US" w:bidi="ar-SA"/>
          </w:rPr>
          <w:t>Kamalthas v. INS,</w:t>
        </w:r>
      </w:hyperlink>
      <w:hyperlink r:id="rId30" w:history="1">
        <w:r>
          <w:rPr>
            <w:rFonts w:ascii="arial" w:eastAsia="arial" w:hAnsi="arial" w:cs="arial"/>
            <w:i/>
            <w:color w:val="0077CC"/>
            <w:sz w:val="20"/>
            <w:u w:val="single"/>
            <w:shd w:val="clear" w:color="auto" w:fill="FFFFFF"/>
            <w:lang w:val="en-US" w:eastAsia="en-US" w:bidi="ar-SA"/>
          </w:rPr>
          <w:t xml:space="preserve"> 251 F.3d 1279, 1284 (9th Cir. 2001)</w:t>
        </w:r>
      </w:hyperlink>
      <w:r>
        <w:rPr>
          <w:rFonts w:ascii="arial" w:eastAsia="arial" w:hAnsi="arial" w:cs="arial"/>
          <w:color w:val="000000"/>
          <w:sz w:val="20"/>
          <w:lang w:val="en-US" w:eastAsia="en-US" w:bidi="ar-SA"/>
        </w:rPr>
        <w:t xml:space="preserve"> (remanding for analysis of torture claim despite denial of asylum where ``probative evidence in the record… confirm[ed] that Tamil males have been subjected to widespread torture in Sri Lanka.''); </w:t>
      </w:r>
      <w:hyperlink r:id="rId31" w:history="1">
        <w:r>
          <w:rPr>
            <w:rFonts w:ascii="arial" w:eastAsia="arial" w:hAnsi="arial" w:cs="arial"/>
            <w:i/>
            <w:color w:val="0077CC"/>
            <w:sz w:val="20"/>
            <w:u w:val="single"/>
            <w:shd w:val="clear" w:color="auto" w:fill="FFFFFF"/>
            <w:lang w:val="en-US" w:eastAsia="en-US" w:bidi="ar-SA"/>
          </w:rPr>
          <w:t>Arulampalam v. Ashcroft,</w:t>
        </w:r>
      </w:hyperlink>
      <w:hyperlink r:id="rId31" w:history="1">
        <w:r>
          <w:rPr>
            <w:rFonts w:ascii="arial" w:eastAsia="arial" w:hAnsi="arial" w:cs="arial"/>
            <w:i/>
            <w:color w:val="0077CC"/>
            <w:sz w:val="20"/>
            <w:u w:val="single"/>
            <w:shd w:val="clear" w:color="auto" w:fill="FFFFFF"/>
            <w:lang w:val="en-US" w:eastAsia="en-US" w:bidi="ar-SA"/>
          </w:rPr>
          <w:t xml:space="preserve"> 353 F.3d 679, 689 (9th Cir. 2003)</w:t>
        </w:r>
      </w:hyperlink>
      <w:r>
        <w:rPr>
          <w:rFonts w:ascii="arial" w:eastAsia="arial" w:hAnsi="arial" w:cs="arial"/>
          <w:color w:val="000000"/>
          <w:sz w:val="20"/>
          <w:lang w:val="en-US" w:eastAsia="en-US" w:bidi="ar-SA"/>
        </w:rPr>
        <w:t xml:space="preserve"> (Fernandez, J., concurring in grant of relief under Convention Against Torture but dissenting from reversal of asylum denial to Sri Lankan Tamil).</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Most tellingly, the government itself refused to oppose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NA's claim under the Convention Against Torture in response to a specific question by the Immigration Judge to government counsel. Exh. 6 at </w:t>
      </w:r>
      <w:r>
        <w:rPr>
          <w:rFonts w:ascii="arial" w:eastAsia="arial" w:hAnsi="arial" w:cs="arial"/>
          <w:i/>
          <w:color w:val="000000"/>
          <w:sz w:val="20"/>
          <w:lang w:val="en-US" w:eastAsia="en-US" w:bidi="ar-SA"/>
        </w:rPr>
        <w:t>253–54.</w:t>
      </w:r>
      <w:r>
        <w:rPr>
          <w:rFonts w:ascii="arial" w:eastAsia="arial" w:hAnsi="arial" w:cs="arial"/>
          <w:color w:val="000000"/>
          <w:sz w:val="20"/>
          <w:lang w:val="en-US" w:eastAsia="en-US" w:bidi="ar-SA"/>
        </w:rPr>
        <w:t xml:space="preserve"> Because the Convention Against Torture would bar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NA's removal to Sri Lanka even if he were denied asylum at some point in the future, he is most likely going to be an indefinite detainee under </w:t>
      </w:r>
      <w:r>
        <w:rPr>
          <w:rFonts w:ascii="arial" w:eastAsia="arial" w:hAnsi="arial" w:cs="arial"/>
          <w:i/>
          <w:color w:val="000000"/>
          <w:sz w:val="20"/>
          <w:lang w:val="en-US" w:eastAsia="en-US" w:bidi="ar-SA"/>
        </w:rPr>
        <w:t>Zadvydas</w:t>
      </w:r>
      <w:r>
        <w:rPr>
          <w:rFonts w:ascii="arial" w:eastAsia="arial" w:hAnsi="arial" w:cs="arial"/>
          <w:color w:val="000000"/>
          <w:sz w:val="20"/>
          <w:lang w:val="en-US" w:eastAsia="en-US" w:bidi="ar-SA"/>
        </w:rPr>
        <w:t xml:space="preserve"> even if he loses at the Board of Immigration Appeals, because there is no country to which he can be legally removed.</w:t>
      </w:r>
      <w:r>
        <w:rPr>
          <w:rFonts w:ascii="arial" w:eastAsia="arial" w:hAnsi="arial" w:cs="arial"/>
          <w:sz w:val="20"/>
          <w:vertAlign w:val="superscript"/>
          <w:lang w:val="en-US" w:eastAsia="en-US" w:bidi="ar-SA"/>
        </w:rPr>
        <w:footnoteReference w:customMarkFollows="1" w:id="6"/>
        <w:t xml:space="preserve">7</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the face of such prolonged and potentially indefinite detention, the government would require, at the very least, clear statutory authority to detain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w:t>
      </w:r>
      <w:r>
        <w:rPr>
          <w:rFonts w:ascii="arial" w:eastAsia="arial" w:hAnsi="arial" w:cs="arial"/>
          <w:i/>
          <w:color w:val="000000"/>
          <w:sz w:val="20"/>
          <w:lang w:val="en-US" w:eastAsia="en-US" w:bidi="ar-SA"/>
        </w:rPr>
        <w:t xml:space="preserve">See </w:t>
      </w:r>
      <w:hyperlink r:id="rId24" w:history="1">
        <w:r>
          <w:rPr>
            <w:rFonts w:ascii="arial" w:eastAsia="arial" w:hAnsi="arial" w:cs="arial"/>
            <w:i/>
            <w:color w:val="0077CC"/>
            <w:sz w:val="20"/>
            <w:u w:val="single"/>
            <w:shd w:val="clear" w:color="auto" w:fill="FFFFFF"/>
            <w:lang w:val="en-US" w:eastAsia="en-US" w:bidi="ar-SA"/>
          </w:rPr>
          <w:t>Zadvydas,</w:t>
        </w:r>
      </w:hyperlink>
      <w:hyperlink r:id="rId24" w:history="1">
        <w:r>
          <w:rPr>
            <w:rFonts w:ascii="arial" w:eastAsia="arial" w:hAnsi="arial" w:cs="arial"/>
            <w:i/>
            <w:color w:val="0077CC"/>
            <w:sz w:val="20"/>
            <w:u w:val="single"/>
            <w:shd w:val="clear" w:color="auto" w:fill="FFFFFF"/>
            <w:lang w:val="en-US" w:eastAsia="en-US" w:bidi="ar-SA"/>
          </w:rPr>
          <w:t xml:space="preserve"> 533 U.S. at 699</w:t>
        </w:r>
      </w:hyperlink>
      <w:r>
        <w:rPr>
          <w:rFonts w:ascii="arial" w:eastAsia="arial" w:hAnsi="arial" w:cs="arial"/>
          <w:color w:val="000000"/>
          <w:sz w:val="20"/>
          <w:lang w:val="en-US" w:eastAsia="en-US" w:bidi="ar-SA"/>
        </w:rPr>
        <w:t xml:space="preserve"> (granting petition after finding nothing in text or history of statute ``that clearly demonstrates a congressional intent to authorize indefinite, perhaps permanent, detention.''). Here, however, there is no statutory authority whatsoever for the indefinite detention of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The government claims, and the district court found, authority to detain him under the provisions authorizing detention and discretionary parole of aliens seeking admission—</w:t>
      </w:r>
      <w:hyperlink r:id="rId21" w:history="1">
        <w:r>
          <w:rPr>
            <w:rFonts w:ascii="arial" w:eastAsia="arial" w:hAnsi="arial" w:cs="arial"/>
            <w:i/>
            <w:color w:val="0077CC"/>
            <w:sz w:val="20"/>
            <w:u w:val="single"/>
            <w:shd w:val="clear" w:color="auto" w:fill="FFFFFF"/>
            <w:lang w:val="en-US" w:eastAsia="en-US" w:bidi="ar-SA"/>
          </w:rPr>
          <w:t>8 U.S.C. 1225</w:t>
        </w:r>
      </w:hyperlink>
      <w:r>
        <w:rPr>
          <w:rFonts w:ascii="arial" w:eastAsia="arial" w:hAnsi="arial" w:cs="arial"/>
          <w:color w:val="000000"/>
          <w:sz w:val="20"/>
          <w:lang w:val="en-US" w:eastAsia="en-US" w:bidi="ar-SA"/>
        </w:rPr>
        <w:t xml:space="preserve"> and </w:t>
      </w:r>
      <w:hyperlink r:id="rId23" w:history="1">
        <w:r>
          <w:rPr>
            <w:rFonts w:ascii="arial" w:eastAsia="arial" w:hAnsi="arial" w:cs="arial"/>
            <w:i/>
            <w:color w:val="0077CC"/>
            <w:sz w:val="20"/>
            <w:u w:val="single"/>
            <w:shd w:val="clear" w:color="auto" w:fill="FFFFFF"/>
            <w:lang w:val="en-US" w:eastAsia="en-US" w:bidi="ar-SA"/>
          </w:rPr>
          <w:t>8 U.S.C. 1182(d)(5)(A)</w:t>
        </w:r>
      </w:hyperlink>
      <w:r>
        <w:rPr>
          <w:rFonts w:ascii="arial" w:eastAsia="arial" w:hAnsi="arial" w:cs="arial"/>
          <w:color w:val="000000"/>
          <w:sz w:val="20"/>
          <w:lang w:val="en-US" w:eastAsia="en-US" w:bidi="ar-SA"/>
        </w:rPr>
        <w:t xml:space="preserve">. But the Supreme Court held in </w:t>
      </w:r>
      <w:r>
        <w:rPr>
          <w:rFonts w:ascii="arial" w:eastAsia="arial" w:hAnsi="arial" w:cs="arial"/>
          <w:i/>
          <w:color w:val="000000"/>
          <w:sz w:val="20"/>
          <w:lang w:val="en-US" w:eastAsia="en-US" w:bidi="ar-SA"/>
        </w:rPr>
        <w:t>Clark</w:t>
      </w:r>
      <w:r>
        <w:rPr>
          <w:rFonts w:ascii="arial" w:eastAsia="arial" w:hAnsi="arial" w:cs="arial"/>
          <w:color w:val="000000"/>
          <w:sz w:val="20"/>
          <w:lang w:val="en-US" w:eastAsia="en-US" w:bidi="ar-SA"/>
        </w:rPr>
        <w:t xml:space="preserve"> that those statutes do not authorize indefinite detention. </w:t>
      </w:r>
      <w:hyperlink r:id="rId25" w:history="1">
        <w:r>
          <w:rPr>
            <w:rFonts w:ascii="arial" w:eastAsia="arial" w:hAnsi="arial" w:cs="arial"/>
            <w:i/>
            <w:color w:val="0077CC"/>
            <w:sz w:val="20"/>
            <w:u w:val="single"/>
            <w:shd w:val="clear" w:color="auto" w:fill="FFFFFF"/>
            <w:lang w:val="en-US" w:eastAsia="en-US" w:bidi="ar-SA"/>
          </w:rPr>
          <w:t>Clark,</w:t>
        </w:r>
      </w:hyperlink>
      <w:hyperlink r:id="rId25" w:history="1">
        <w:r>
          <w:rPr>
            <w:rFonts w:ascii="arial" w:eastAsia="arial" w:hAnsi="arial" w:cs="arial"/>
            <w:i/>
            <w:color w:val="0077CC"/>
            <w:sz w:val="20"/>
            <w:u w:val="single"/>
            <w:shd w:val="clear" w:color="auto" w:fill="FFFFFF"/>
            <w:lang w:val="en-US" w:eastAsia="en-US" w:bidi="ar-SA"/>
          </w:rPr>
          <w:t xml:space="preserve"> 125 S.Ct. at 726–27</w:t>
        </w:r>
      </w:hyperlink>
      <w:r>
        <w:rPr>
          <w:rFonts w:ascii="arial" w:eastAsia="arial" w:hAnsi="arial" w:cs="arial"/>
          <w:color w:val="000000"/>
          <w:sz w:val="20"/>
          <w:lang w:val="en-US" w:eastAsia="en-US" w:bidi="ar-SA"/>
        </w:rPr>
        <w:t xml:space="preserve"> (``we find nothing in this text that affirmatively authorizes detention, much less indefinite detention.''). Incredibly, the district court did not even cite </w:t>
      </w:r>
      <w:r>
        <w:rPr>
          <w:rFonts w:ascii="arial" w:eastAsia="arial" w:hAnsi="arial" w:cs="arial"/>
          <w:i/>
          <w:color w:val="000000"/>
          <w:sz w:val="20"/>
          <w:lang w:val="en-US" w:eastAsia="en-US" w:bidi="ar-SA"/>
        </w:rPr>
        <w:t>Clark.</w:t>
      </w:r>
      <w:r>
        <w:rPr>
          <w:rFonts w:ascii="arial" w:eastAsia="arial" w:hAnsi="arial" w:cs="arial"/>
          <w:color w:val="000000"/>
          <w:sz w:val="20"/>
          <w:lang w:val="en-US" w:eastAsia="en-US" w:bidi="ar-SA"/>
        </w:rPr>
        <w:t xml:space="preserve"> The government's argument that it has authority to indefinitely detain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under this statute is completely untenable after </w:t>
      </w:r>
      <w:r>
        <w:rPr>
          <w:rFonts w:ascii="arial" w:eastAsia="arial" w:hAnsi="arial" w:cs="arial"/>
          <w:i/>
          <w:color w:val="000000"/>
          <w:sz w:val="20"/>
          <w:lang w:val="en-US" w:eastAsia="en-US" w:bidi="ar-SA"/>
        </w:rPr>
        <w:t>Clark.</w:t>
      </w:r>
      <w:r>
        <w:rPr>
          <w:rFonts w:ascii="arial" w:eastAsia="arial" w:hAnsi="arial" w:cs="arial"/>
          <w:sz w:val="20"/>
          <w:vertAlign w:val="superscript"/>
          <w:lang w:val="en-US" w:eastAsia="en-US" w:bidi="ar-SA"/>
        </w:rPr>
        <w:footnoteReference w:customMarkFollows="1" w:id="7"/>
        <w:t xml:space="preserve">8</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Moreover, the government's argument that it can detain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for a prolonged period of time under the general detention statutes it cites is undermined by the existence of another statute which specifically authorizes indefinite detention on national security grounds.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2" w:history="1">
        <w:r>
          <w:rPr>
            <w:rFonts w:ascii="arial" w:eastAsia="arial" w:hAnsi="arial" w:cs="arial"/>
            <w:i/>
            <w:color w:val="0077CC"/>
            <w:sz w:val="20"/>
            <w:u w:val="single"/>
            <w:shd w:val="clear" w:color="auto" w:fill="FFFFFF"/>
            <w:lang w:val="en-US" w:eastAsia="en-US" w:bidi="ar-SA"/>
          </w:rPr>
          <w:t>8 U.S.C. 1226a</w:t>
        </w:r>
      </w:hyperlink>
      <w:r>
        <w:rPr>
          <w:rFonts w:ascii="arial" w:eastAsia="arial" w:hAnsi="arial" w:cs="arial"/>
          <w:color w:val="000000"/>
          <w:sz w:val="20"/>
          <w:lang w:val="en-US" w:eastAsia="en-US" w:bidi="ar-SA"/>
        </w:rPr>
        <w:t xml:space="preserve">. That provision specifically grants the power to detain non-citizens indefinitely, subject to review every six months, if their release will threaten the national security. </w:t>
      </w:r>
      <w:hyperlink r:id="rId22" w:history="1">
        <w:r>
          <w:rPr>
            <w:rFonts w:ascii="arial" w:eastAsia="arial" w:hAnsi="arial" w:cs="arial"/>
            <w:i/>
            <w:color w:val="0077CC"/>
            <w:sz w:val="20"/>
            <w:u w:val="single"/>
            <w:shd w:val="clear" w:color="auto" w:fill="FFFFFF"/>
            <w:lang w:val="en-US" w:eastAsia="en-US" w:bidi="ar-SA"/>
          </w:rPr>
          <w:t>8 U.S.C. 1226a(a)(6)</w:t>
        </w:r>
      </w:hyperlink>
      <w:r>
        <w:rPr>
          <w:rFonts w:ascii="arial" w:eastAsia="arial" w:hAnsi="arial" w:cs="arial"/>
          <w:color w:val="000000"/>
          <w:sz w:val="20"/>
          <w:lang w:val="en-US" w:eastAsia="en-US" w:bidi="ar-SA"/>
        </w:rPr>
        <w:t xml:space="preserve">. It sets forth procedures for the indefinite detention of aliens certified as potential terrorists, and delineates certain procedures for use in such cases. That statute does not apply here, however, because it requires that the Attorney General or a Deputy Attorney General actually certify that there are reasonable grounds to believe that the alien has engaged in terrorist activity or is otherwise a threat to national security in order to invoke the statute.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2" w:history="1">
        <w:r>
          <w:rPr>
            <w:rFonts w:ascii="arial" w:eastAsia="arial" w:hAnsi="arial" w:cs="arial"/>
            <w:i/>
            <w:color w:val="0077CC"/>
            <w:sz w:val="20"/>
            <w:u w:val="single"/>
            <w:shd w:val="clear" w:color="auto" w:fill="FFFFFF"/>
            <w:lang w:val="en-US" w:eastAsia="en-US" w:bidi="ar-SA"/>
          </w:rPr>
          <w:t>8 U.S.C. 1226a(a)(3)</w:t>
        </w:r>
      </w:hyperlink>
      <w:r>
        <w:rPr>
          <w:rFonts w:ascii="arial" w:eastAsia="arial" w:hAnsi="arial" w:cs="arial"/>
          <w:color w:val="000000"/>
          <w:sz w:val="20"/>
          <w:lang w:val="en-US" w:eastAsia="en-US" w:bidi="ar-SA"/>
        </w:rPr>
        <w:t>. The Attorney General has not made any such certification here, perhaps because his own Immigration Judge has rejected the factual basis for the terrorism allegations in this case.</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Given the absence of any specific authorization for prolonged and potentially indefinite detention in the statute at issue here coupled with the existence of such specific authorization in a statute that the government has not invoked, it is clear that there is no statutory authority for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NA's continued detention.</w:t>
      </w:r>
    </w:p>
    <w:p>
      <w:pPr>
        <w:spacing w:before="240" w:line="260" w:lineRule="atLeast"/>
        <w:ind w:left="360"/>
        <w:jc w:val="center"/>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2. Mr. </w:t>
      </w:r>
      <w:r>
        <w:rPr>
          <w:rFonts w:ascii="arial" w:eastAsia="arial" w:hAnsi="arial" w:cs="arial"/>
          <w:b/>
          <w:color w:val="000000"/>
          <w:sz w:val="20"/>
          <w:lang w:val="en-US" w:eastAsia="en-US" w:bidi="ar-SA"/>
        </w:rPr>
        <w:t>______________________</w:t>
      </w:r>
      <w:r>
        <w:rPr>
          <w:rFonts w:ascii="arial" w:eastAsia="arial" w:hAnsi="arial" w:cs="arial"/>
          <w:b/>
          <w:color w:val="000000"/>
          <w:sz w:val="20"/>
          <w:lang w:val="en-US" w:eastAsia="en-US" w:bidi="ar-SA"/>
        </w:rPr>
        <w:t>NA's Detention Violates Due Process.</w:t>
      </w:r>
    </w:p>
    <w:p>
      <w:pPr>
        <w:spacing w:before="24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also argues that his detention violates the Due Process Clause. Even aliens seeking admission are ``persons'' within the meaning of the </w:t>
      </w:r>
      <w:hyperlink r:id="rId39" w:history="1">
        <w:r>
          <w:rPr>
            <w:rFonts w:ascii="arial" w:eastAsia="arial" w:hAnsi="arial" w:cs="arial"/>
            <w:i/>
            <w:color w:val="0077CC"/>
            <w:sz w:val="20"/>
            <w:u w:val="single"/>
            <w:shd w:val="clear" w:color="auto" w:fill="FFFFFF"/>
            <w:lang w:val="en-US" w:eastAsia="en-US" w:bidi="ar-SA"/>
          </w:rPr>
          <w:t>Fifth Amendment</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See </w:t>
      </w:r>
      <w:hyperlink r:id="rId37" w:history="1">
        <w:r>
          <w:rPr>
            <w:rFonts w:ascii="arial" w:eastAsia="arial" w:hAnsi="arial" w:cs="arial"/>
            <w:i/>
            <w:color w:val="0077CC"/>
            <w:sz w:val="20"/>
            <w:u w:val="single"/>
            <w:shd w:val="clear" w:color="auto" w:fill="FFFFFF"/>
            <w:lang w:val="en-US" w:eastAsia="en-US" w:bidi="ar-SA"/>
          </w:rPr>
          <w:t>Wong v. INS,</w:t>
        </w:r>
      </w:hyperlink>
      <w:hyperlink r:id="rId37" w:history="1">
        <w:r>
          <w:rPr>
            <w:rFonts w:ascii="arial" w:eastAsia="arial" w:hAnsi="arial" w:cs="arial"/>
            <w:i/>
            <w:color w:val="0077CC"/>
            <w:sz w:val="20"/>
            <w:u w:val="single"/>
            <w:shd w:val="clear" w:color="auto" w:fill="FFFFFF"/>
            <w:lang w:val="en-US" w:eastAsia="en-US" w:bidi="ar-SA"/>
          </w:rPr>
          <w:t xml:space="preserve"> 373 F.3d 952, 970–75 (9th Cir. 2004)</w:t>
        </w:r>
      </w:hyperlink>
      <w:r>
        <w:rPr>
          <w:rFonts w:ascii="arial" w:eastAsia="arial" w:hAnsi="arial" w:cs="arial"/>
          <w:color w:val="000000"/>
          <w:sz w:val="20"/>
          <w:lang w:val="en-US" w:eastAsia="en-US" w:bidi="ar-SA"/>
        </w:rPr>
        <w:t xml:space="preserve">. As such, they may not be subject to arbitrary detention. </w:t>
      </w:r>
      <w:r>
        <w:rPr>
          <w:rFonts w:ascii="arial" w:eastAsia="arial" w:hAnsi="arial" w:cs="arial"/>
          <w:i/>
          <w:color w:val="000000"/>
          <w:sz w:val="20"/>
          <w:lang w:val="en-US" w:eastAsia="en-US" w:bidi="ar-SA"/>
        </w:rPr>
        <w:t xml:space="preserve">See, e.g., </w:t>
      </w:r>
      <w:hyperlink r:id="rId24" w:history="1">
        <w:r>
          <w:rPr>
            <w:rFonts w:ascii="arial" w:eastAsia="arial" w:hAnsi="arial" w:cs="arial"/>
            <w:i/>
            <w:color w:val="0077CC"/>
            <w:sz w:val="20"/>
            <w:u w:val="single"/>
            <w:shd w:val="clear" w:color="auto" w:fill="FFFFFF"/>
            <w:lang w:val="en-US" w:eastAsia="en-US" w:bidi="ar-SA"/>
          </w:rPr>
          <w:t>Zadvydas,</w:t>
        </w:r>
      </w:hyperlink>
      <w:hyperlink r:id="rId24" w:history="1">
        <w:r>
          <w:rPr>
            <w:rFonts w:ascii="arial" w:eastAsia="arial" w:hAnsi="arial" w:cs="arial"/>
            <w:i/>
            <w:color w:val="0077CC"/>
            <w:sz w:val="20"/>
            <w:u w:val="single"/>
            <w:shd w:val="clear" w:color="auto" w:fill="FFFFFF"/>
            <w:lang w:val="en-US" w:eastAsia="en-US" w:bidi="ar-SA"/>
          </w:rPr>
          <w:t xml:space="preserve"> 533 U.S. at 718</w:t>
        </w:r>
      </w:hyperlink>
      <w:r>
        <w:rPr>
          <w:rFonts w:ascii="arial" w:eastAsia="arial" w:hAnsi="arial" w:cs="arial"/>
          <w:color w:val="000000"/>
          <w:sz w:val="20"/>
          <w:lang w:val="en-US" w:eastAsia="en-US" w:bidi="ar-SA"/>
        </w:rPr>
        <w:t xml:space="preserve"> (Kennedy, J., dissenting) (``both removable and inadmissible aliens are entitled to be free from detention that is arbitrary or capricious.'').</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Here,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NA's prolonged detention under the government's asserted national security justification is arbitrary, both because it has been rejected by the Immigration Judge, twice, in hearings designed to test the truth of the allegations, and because it is so utterly unconvincing on its face.</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factual predicate for the national security rationale has been entirely undermined by the Immigration Judge's finding, on two occasions, that there is no support for it. The allegations are based on utterly implausible claims by a confidential informant that have been proven demonstrably false. Most important, the confidential informant was simply wrong about whether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 was living in territory controlled by a terrorist group (he was not).</w:t>
      </w:r>
      <w:r>
        <w:rPr>
          <w:rFonts w:ascii="arial" w:eastAsia="arial" w:hAnsi="arial" w:cs="arial"/>
          <w:sz w:val="20"/>
          <w:vertAlign w:val="superscript"/>
          <w:lang w:val="en-US" w:eastAsia="en-US" w:bidi="ar-SA"/>
        </w:rPr>
        <w:footnoteReference w:customMarkFollows="1" w:id="8"/>
        <w:t xml:space="preserve">9</w:t>
      </w:r>
      <w:r>
        <w:rPr>
          <w:rFonts w:ascii="arial" w:eastAsia="arial" w:hAnsi="arial" w:cs="arial"/>
          <w:color w:val="000000"/>
          <w:sz w:val="20"/>
          <w:lang w:val="en-US" w:eastAsia="en-US" w:bidi="ar-SA"/>
        </w:rPr>
        <w:t xml:space="preserve"> The informant was also completely wrong about whether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 had made a phone call threatening another person (he could not have made the alleged phone call, for reasons that became clear at his hearing).</w:t>
      </w:r>
      <w:r>
        <w:rPr>
          <w:rFonts w:ascii="arial" w:eastAsia="arial" w:hAnsi="arial" w:cs="arial"/>
          <w:sz w:val="20"/>
          <w:vertAlign w:val="superscript"/>
          <w:lang w:val="en-US" w:eastAsia="en-US" w:bidi="ar-SA"/>
        </w:rPr>
        <w:footnoteReference w:customMarkFollows="1" w:id="9"/>
        <w:t xml:space="preserve">10</w:t>
      </w:r>
      <w:r>
        <w:rPr>
          <w:rFonts w:ascii="arial" w:eastAsia="arial" w:hAnsi="arial" w:cs="arial"/>
          <w:color w:val="000000"/>
          <w:sz w:val="20"/>
          <w:lang w:val="en-US" w:eastAsia="en-US" w:bidi="ar-SA"/>
        </w:rPr>
        <w:t xml:space="preserve"> Indeed, as the government agent admitted at the hearing, even he himself was not aware of the source of the information against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 and therefore could not vouch for its reliability.</w:t>
      </w:r>
      <w:r>
        <w:rPr>
          <w:rFonts w:ascii="arial" w:eastAsia="arial" w:hAnsi="arial" w:cs="arial"/>
          <w:sz w:val="20"/>
          <w:vertAlign w:val="superscript"/>
          <w:lang w:val="en-US" w:eastAsia="en-US" w:bidi="ar-SA"/>
        </w:rPr>
        <w:footnoteReference w:customMarkFollows="1" w:id="10"/>
        <w:t xml:space="preserve">11</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light of the Attorney General's own delegate having rejected the national security basis for detaining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after a full hearing, and given the utterly implausible nature of the facts underlying the national security rationale,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NA's prolonged and potentially indefinite detention on that basis is arbitrary in violation of the Due Process Clause.</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B. Release is Necessary to Effectuate the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Remedy</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order to grant release pending appeal, the Court must also find that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NA's release is necessary to effectuate the remedy sought by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w:t>
      </w:r>
      <w:hyperlink r:id="rId27" w:history="1">
        <w:r>
          <w:rPr>
            <w:rFonts w:ascii="arial" w:eastAsia="arial" w:hAnsi="arial" w:cs="arial"/>
            <w:i/>
            <w:color w:val="0077CC"/>
            <w:sz w:val="20"/>
            <w:u w:val="single"/>
            <w:shd w:val="clear" w:color="auto" w:fill="FFFFFF"/>
            <w:lang w:val="en-US" w:eastAsia="en-US" w:bidi="ar-SA"/>
          </w:rPr>
          <w:t>Mapp v. Reno,</w:t>
        </w:r>
      </w:hyperlink>
      <w:hyperlink r:id="rId27" w:history="1">
        <w:r>
          <w:rPr>
            <w:rFonts w:ascii="arial" w:eastAsia="arial" w:hAnsi="arial" w:cs="arial"/>
            <w:i/>
            <w:color w:val="0077CC"/>
            <w:sz w:val="20"/>
            <w:u w:val="single"/>
            <w:shd w:val="clear" w:color="auto" w:fill="FFFFFF"/>
            <w:lang w:val="en-US" w:eastAsia="en-US" w:bidi="ar-SA"/>
          </w:rPr>
          <w:t xml:space="preserve"> 241 F.3d 221, 231 (2d Cir. 2001)</w:t>
        </w:r>
      </w:hyperlink>
      <w:r>
        <w:rPr>
          <w:rFonts w:ascii="arial" w:eastAsia="arial" w:hAnsi="arial" w:cs="arial"/>
          <w:color w:val="000000"/>
          <w:sz w:val="20"/>
          <w:lang w:val="en-US" w:eastAsia="en-US" w:bidi="ar-SA"/>
        </w:rPr>
        <w:t xml:space="preserve">. Here, it is clear that release is necessary to effectuate this petition, which seeks relief from unlawfully prolonged confinement. There may be situations, as in </w:t>
      </w:r>
      <w:r>
        <w:rPr>
          <w:rFonts w:ascii="arial" w:eastAsia="arial" w:hAnsi="arial" w:cs="arial"/>
          <w:i/>
          <w:color w:val="000000"/>
          <w:sz w:val="20"/>
          <w:lang w:val="en-US" w:eastAsia="en-US" w:bidi="ar-SA"/>
        </w:rPr>
        <w:t>Mapp,</w:t>
      </w:r>
      <w:r>
        <w:rPr>
          <w:rFonts w:ascii="arial" w:eastAsia="arial" w:hAnsi="arial" w:cs="arial"/>
          <w:color w:val="000000"/>
          <w:sz w:val="20"/>
          <w:lang w:val="en-US" w:eastAsia="en-US" w:bidi="ar-SA"/>
        </w:rPr>
        <w:t xml:space="preserve"> where the alien's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challenges his or her removal order, and does not seek release from detention. Under such circumstances, release may not be necessary to effectuate the appeal. </w:t>
      </w:r>
      <w:r>
        <w:rPr>
          <w:rFonts w:ascii="arial" w:eastAsia="arial" w:hAnsi="arial" w:cs="arial"/>
          <w:i/>
          <w:color w:val="000000"/>
          <w:sz w:val="20"/>
          <w:lang w:val="en-US" w:eastAsia="en-US" w:bidi="ar-SA"/>
        </w:rPr>
        <w:t>See id.</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However, it is apparent here that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NA's release is necessary to effectuate the remedy of release from unlawfully prolonged detention. Every day in detention worsens the trauma he suffers as a victim of torture. He was twenty-one years old when he fled Sri Lanka. He is now twenty-five, but has yet to see any part of the United States other than his detention center.</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all of these reasons, Mr. </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NA respectfully requests that the Court order his release on bond pending resolution of his appeal.</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CONCLUSION</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Mr.</w:t>
      </w:r>
      <w:r>
        <w:rPr>
          <w:rFonts w:ascii="arial" w:eastAsia="arial" w:hAnsi="arial" w:cs="arial"/>
          <w:color w:val="000000"/>
          <w:sz w:val="20"/>
          <w:lang w:val="en-US" w:eastAsia="en-US" w:bidi="ar-SA"/>
        </w:rPr>
        <w:t>______________________</w:t>
      </w:r>
      <w:r>
        <w:rPr>
          <w:rFonts w:ascii="arial" w:eastAsia="arial" w:hAnsi="arial" w:cs="arial"/>
          <w:color w:val="000000"/>
          <w:sz w:val="20"/>
          <w:lang w:val="en-US" w:eastAsia="en-US" w:bidi="ar-SA"/>
        </w:rPr>
        <w:t xml:space="preserve">NA respectfully requests that this Court order expedited briefing for this case, following the schedule set forth </w:t>
      </w:r>
      <w:r>
        <w:rPr>
          <w:rFonts w:ascii="arial" w:eastAsia="arial" w:hAnsi="arial" w:cs="arial"/>
          <w:i/>
          <w:color w:val="000000"/>
          <w:sz w:val="20"/>
          <w:lang w:val="en-US" w:eastAsia="en-US" w:bidi="ar-SA"/>
        </w:rPr>
        <w:t>supra</w:t>
      </w:r>
      <w:r>
        <w:rPr>
          <w:rFonts w:ascii="arial" w:eastAsia="arial" w:hAnsi="arial" w:cs="arial"/>
          <w:color w:val="000000"/>
          <w:sz w:val="20"/>
          <w:lang w:val="en-US" w:eastAsia="en-US" w:bidi="ar-SA"/>
        </w:rPr>
        <w:t xml:space="preserve"> (on which the government has taken no position). He also respectfully requests that this Court grant him release, upon whatever conditions the Court finds suitable (including an electronic monitor), pending its resolution of this petition.</w:t>
      </w:r>
    </w:p>
    <w:tbl>
      <w:tblPr>
        <w:tblStyle w:val="TableNormal"/>
        <w:tblW w:w="0" w:type="auto"/>
        <w:jc w:val="center"/>
        <w:tblBorders>
          <w:top w:val="nil"/>
          <w:left w:val="nil"/>
          <w:bottom w:val="nil"/>
          <w:right w:val="nil"/>
          <w:insideH w:val="nil"/>
          <w:insideV w:val="nil"/>
        </w:tblBorders>
        <w:tblLayout w:type="fixed"/>
        <w:tblCellMar>
          <w:left w:w="108" w:type="dxa"/>
          <w:right w:w="108" w:type="dxa"/>
        </w:tblCellMar>
      </w:tblPr>
      <w:tblGrid>
        <w:gridCol w:w="2550"/>
        <w:gridCol w:w="2550"/>
      </w:tblGrid>
      <w:tr>
        <w:tblPrEx>
          <w:tblW w:w="0" w:type="auto"/>
          <w:jc w:val="center"/>
          <w:tblBorders>
            <w:top w:val="nil"/>
            <w:left w:val="nil"/>
            <w:bottom w:val="nil"/>
            <w:right w:val="nil"/>
            <w:insideH w:val="nil"/>
            <w:insideV w:val="nil"/>
          </w:tblBorders>
          <w:tblLayout w:type="fixed"/>
          <w:tblCellMar>
            <w:left w:w="108" w:type="dxa"/>
            <w:right w:w="108" w:type="dxa"/>
          </w:tblCellMar>
        </w:tblPrEx>
        <w:trPr>
          <w:jc w:val="center"/>
        </w:trPr>
        <w:tc>
          <w:tcPr>
            <w:tcW w:w="2550" w:type="dxa"/>
            <w:tcBorders>
              <w:bottom w:val="nil"/>
              <w:right w:val="nil"/>
            </w:tcBorders>
            <w:tcMar>
              <w:top w:w="20" w:type="dxa"/>
              <w:bottom w:w="20" w:type="dxa"/>
            </w:tcMar>
            <w:vAlign w:val="top"/>
          </w:tcPr>
          <w:p>
            <w:pPr>
              <w:rPr>
                <w:rFonts w:ascii="arial" w:eastAsia="arial" w:hAnsi="arial" w:cs="arial"/>
                <w:sz w:val="20"/>
                <w:lang w:val="en-US" w:eastAsia="en-US" w:bidi="ar-SA"/>
              </w:rPr>
            </w:pPr>
          </w:p>
        </w:tc>
        <w:tc>
          <w:tcPr>
            <w:tcW w:w="2550" w:type="dxa"/>
            <w:tcBorders>
              <w:bottom w:val="nil"/>
            </w:tcBorders>
            <w:tcMar>
              <w:top w:w="20" w:type="dxa"/>
              <w:bottom w:w="20" w:type="dxa"/>
            </w:tcMar>
            <w:vAlign w:val="top"/>
          </w:tcPr>
          <w:p>
            <w:pPr>
              <w:spacing w:line="220" w:lineRule="atLeast"/>
              <w:rPr>
                <w:rFonts w:ascii="arial" w:eastAsia="arial" w:hAnsi="arial" w:cs="arial"/>
                <w:sz w:val="20"/>
                <w:lang w:val="en-US" w:eastAsia="en-US" w:bidi="ar-SA"/>
              </w:rPr>
            </w:pPr>
            <w:r>
              <w:rPr>
                <w:rFonts w:ascii="arial" w:eastAsia="arial" w:hAnsi="arial" w:cs="arial"/>
                <w:color w:val="000000"/>
                <w:sz w:val="18"/>
                <w:lang w:val="en-US" w:eastAsia="en-US" w:bidi="ar-SA"/>
              </w:rPr>
              <w:t>Respectfully submitted,</w:t>
            </w:r>
          </w:p>
        </w:tc>
      </w:tr>
      <w:tr>
        <w:tblPrEx>
          <w:tblW w:w="0" w:type="auto"/>
          <w:jc w:val="center"/>
          <w:tblLayout w:type="fixed"/>
          <w:tblCellMar>
            <w:left w:w="108" w:type="dxa"/>
            <w:right w:w="108" w:type="dxa"/>
          </w:tblCellMar>
        </w:tblPrEx>
        <w:trPr>
          <w:jc w:val="center"/>
        </w:trPr>
        <w:tc>
          <w:tcPr>
            <w:tcW w:w="2550" w:type="dxa"/>
            <w:tcBorders>
              <w:right w:val="nil"/>
            </w:tcBorders>
            <w:tcMar>
              <w:top w:w="20" w:type="dxa"/>
              <w:bottom w:w="20" w:type="dxa"/>
            </w:tcMar>
            <w:vAlign w:val="center"/>
          </w:tcPr>
          <w:p>
            <w:pPr>
              <w:spacing w:line="220" w:lineRule="atLeast"/>
              <w:rPr>
                <w:rFonts w:ascii="arial" w:eastAsia="arial" w:hAnsi="arial" w:cs="arial"/>
                <w:sz w:val="20"/>
                <w:lang w:val="en-US" w:eastAsia="en-US" w:bidi="ar-SA"/>
              </w:rPr>
            </w:pPr>
            <w:r>
              <w:rPr>
                <w:rFonts w:ascii="arial" w:eastAsia="arial" w:hAnsi="arial" w:cs="arial"/>
                <w:color w:val="000000"/>
                <w:sz w:val="18"/>
                <w:lang w:val="en-US" w:eastAsia="en-US" w:bidi="ar-SA"/>
              </w:rPr>
              <w:t xml:space="preserve">Date: </w:t>
            </w:r>
            <w:r>
              <w:rPr>
                <w:rFonts w:ascii="arial" w:eastAsia="arial" w:hAnsi="arial" w:cs="arial"/>
                <w:color w:val="000000"/>
                <w:sz w:val="18"/>
                <w:lang w:val="en-US" w:eastAsia="en-US" w:bidi="ar-SA"/>
              </w:rPr>
              <w:t>______________________</w:t>
            </w:r>
          </w:p>
        </w:tc>
        <w:tc>
          <w:tcPr>
            <w:tcW w:w="2550" w:type="dxa"/>
            <w:tcMar>
              <w:top w:w="20" w:type="dxa"/>
              <w:bottom w:w="20" w:type="dxa"/>
            </w:tcMar>
            <w:vAlign w:val="center"/>
          </w:tcPr>
          <w:p>
            <w:pPr>
              <w:spacing w:line="220" w:lineRule="atLeast"/>
              <w:rPr>
                <w:rFonts w:ascii="arial" w:eastAsia="arial" w:hAnsi="arial" w:cs="arial"/>
                <w:sz w:val="20"/>
                <w:lang w:val="en-US" w:eastAsia="en-US" w:bidi="ar-SA"/>
              </w:rPr>
            </w:pPr>
            <w:r>
              <w:rPr>
                <w:rFonts w:ascii="arial" w:eastAsia="arial" w:hAnsi="arial" w:cs="arial"/>
                <w:color w:val="000000"/>
                <w:sz w:val="18"/>
                <w:lang w:val="en-US" w:eastAsia="en-US" w:bidi="ar-SA"/>
              </w:rPr>
              <w:t xml:space="preserve">Signature  </w:t>
            </w:r>
          </w:p>
          <w:p>
            <w:pPr>
              <w:spacing w:line="220" w:lineRule="atLeast"/>
              <w:rPr>
                <w:rFonts w:ascii="arial" w:eastAsia="arial" w:hAnsi="arial" w:cs="arial"/>
                <w:sz w:val="20"/>
                <w:lang w:val="en-US" w:eastAsia="en-US" w:bidi="ar-SA"/>
              </w:rPr>
            </w:pPr>
            <w:r>
              <w:rPr>
                <w:rFonts w:ascii="arial" w:eastAsia="arial" w:hAnsi="arial" w:cs="arial"/>
                <w:color w:val="000000"/>
                <w:sz w:val="18"/>
                <w:lang w:val="en-US" w:eastAsia="en-US" w:bidi="ar-SA"/>
              </w:rPr>
              <w:t xml:space="preserve">Attorney Name  </w:t>
            </w:r>
          </w:p>
          <w:p>
            <w:pPr>
              <w:spacing w:line="220" w:lineRule="atLeast"/>
              <w:rPr>
                <w:rFonts w:ascii="arial" w:eastAsia="arial" w:hAnsi="arial" w:cs="arial"/>
                <w:sz w:val="20"/>
                <w:lang w:val="en-US" w:eastAsia="en-US" w:bidi="ar-SA"/>
              </w:rPr>
            </w:pPr>
            <w:r>
              <w:rPr>
                <w:rFonts w:ascii="arial" w:eastAsia="arial" w:hAnsi="arial" w:cs="arial"/>
                <w:color w:val="000000"/>
                <w:sz w:val="18"/>
                <w:lang w:val="en-US" w:eastAsia="en-US" w:bidi="ar-SA"/>
              </w:rPr>
              <w:t xml:space="preserve">Firm or Organization Name  </w:t>
            </w:r>
          </w:p>
          <w:p>
            <w:pPr>
              <w:spacing w:line="220" w:lineRule="atLeast"/>
              <w:rPr>
                <w:rFonts w:ascii="arial" w:eastAsia="arial" w:hAnsi="arial" w:cs="arial"/>
                <w:sz w:val="20"/>
                <w:lang w:val="en-US" w:eastAsia="en-US" w:bidi="ar-SA"/>
              </w:rPr>
            </w:pPr>
            <w:r>
              <w:rPr>
                <w:rFonts w:ascii="arial" w:eastAsia="arial" w:hAnsi="arial" w:cs="arial"/>
                <w:color w:val="000000"/>
                <w:sz w:val="18"/>
                <w:lang w:val="en-US" w:eastAsia="en-US" w:bidi="ar-SA"/>
              </w:rPr>
              <w:t xml:space="preserve">Street Address  </w:t>
            </w:r>
          </w:p>
          <w:p>
            <w:pPr>
              <w:spacing w:line="220" w:lineRule="atLeast"/>
              <w:rPr>
                <w:rFonts w:ascii="arial" w:eastAsia="arial" w:hAnsi="arial" w:cs="arial"/>
                <w:sz w:val="20"/>
                <w:lang w:val="en-US" w:eastAsia="en-US" w:bidi="ar-SA"/>
              </w:rPr>
            </w:pPr>
            <w:r>
              <w:rPr>
                <w:rFonts w:ascii="arial" w:eastAsia="arial" w:hAnsi="arial" w:cs="arial"/>
                <w:color w:val="000000"/>
                <w:sz w:val="18"/>
                <w:lang w:val="en-US" w:eastAsia="en-US" w:bidi="ar-SA"/>
              </w:rPr>
              <w:t xml:space="preserve">City, State, ZIP Code  </w:t>
            </w:r>
          </w:p>
          <w:p>
            <w:pPr>
              <w:spacing w:line="220" w:lineRule="atLeast"/>
              <w:rPr>
                <w:rFonts w:ascii="arial" w:eastAsia="arial" w:hAnsi="arial" w:cs="arial"/>
                <w:sz w:val="20"/>
                <w:lang w:val="en-US" w:eastAsia="en-US" w:bidi="ar-SA"/>
              </w:rPr>
            </w:pPr>
            <w:r>
              <w:rPr>
                <w:rFonts w:ascii="arial" w:eastAsia="arial" w:hAnsi="arial" w:cs="arial"/>
                <w:color w:val="000000"/>
                <w:sz w:val="18"/>
                <w:lang w:val="en-US" w:eastAsia="en-US" w:bidi="ar-SA"/>
              </w:rPr>
              <w:t xml:space="preserve">Telephone: </w:t>
            </w:r>
            <w:r>
              <w:rPr>
                <w:rFonts w:ascii="arial" w:eastAsia="arial" w:hAnsi="arial" w:cs="arial"/>
                <w:color w:val="000000"/>
                <w:sz w:val="18"/>
                <w:lang w:val="en-US" w:eastAsia="en-US" w:bidi="ar-SA"/>
              </w:rPr>
              <w:t>______________________</w:t>
            </w:r>
            <w:r>
              <w:rPr>
                <w:rFonts w:ascii="arial" w:eastAsia="arial" w:hAnsi="arial" w:cs="arial"/>
                <w:color w:val="000000"/>
                <w:sz w:val="18"/>
                <w:lang w:val="en-US" w:eastAsia="en-US" w:bidi="ar-SA"/>
              </w:rPr>
              <w:t xml:space="preserve">  </w:t>
            </w:r>
          </w:p>
          <w:p>
            <w:pPr>
              <w:spacing w:line="220" w:lineRule="atLeast"/>
              <w:rPr>
                <w:rFonts w:ascii="arial" w:eastAsia="arial" w:hAnsi="arial" w:cs="arial"/>
                <w:sz w:val="20"/>
                <w:lang w:val="en-US" w:eastAsia="en-US" w:bidi="ar-SA"/>
              </w:rPr>
            </w:pPr>
            <w:r>
              <w:rPr>
                <w:rFonts w:ascii="arial" w:eastAsia="arial" w:hAnsi="arial" w:cs="arial"/>
                <w:color w:val="000000"/>
                <w:sz w:val="18"/>
                <w:lang w:val="en-US" w:eastAsia="en-US" w:bidi="ar-SA"/>
              </w:rPr>
              <w:t xml:space="preserve">  </w:t>
            </w:r>
          </w:p>
          <w:p>
            <w:pPr>
              <w:spacing w:line="220" w:lineRule="atLeast"/>
              <w:rPr>
                <w:rFonts w:ascii="arial" w:eastAsia="arial" w:hAnsi="arial" w:cs="arial"/>
                <w:sz w:val="20"/>
                <w:lang w:val="en-US" w:eastAsia="en-US" w:bidi="ar-SA"/>
              </w:rPr>
            </w:pPr>
            <w:r>
              <w:rPr>
                <w:rFonts w:ascii="arial" w:eastAsia="arial" w:hAnsi="arial" w:cs="arial"/>
                <w:color w:val="000000"/>
                <w:sz w:val="18"/>
                <w:lang w:val="en-US" w:eastAsia="en-US" w:bidi="ar-SA"/>
              </w:rPr>
              <w:t>Attorney for Petitioner-Appellant</w:t>
            </w:r>
          </w:p>
        </w:tc>
      </w:tr>
    </w:tbl>
    <w:p>
      <w:pPr>
        <w:spacing w:before="120" w:line="220" w:lineRule="atLeast"/>
        <w:rPr>
          <w:rFonts w:ascii="arial" w:eastAsia="arial" w:hAnsi="arial" w:cs="arial"/>
          <w:sz w:val="20"/>
          <w:lang w:val="en-US" w:eastAsia="en-US" w:bidi="ar-SA"/>
        </w:rPr>
      </w:pPr>
      <w:r>
        <w:rPr>
          <w:rFonts w:ascii="arial" w:eastAsia="arial" w:hAnsi="arial" w:cs="arial"/>
          <w:sz w:val="20"/>
          <w:lang w:val="en-US" w:eastAsia="en-US" w:bidi="ar-SA"/>
        </w:rPr>
        <w:br/>
      </w:r>
      <w:r>
        <w:rPr>
          <w:rFonts w:ascii="arial" w:eastAsia="arial" w:hAnsi="arial" w:cs="arial"/>
          <w:color w:val="000000"/>
          <w:sz w:val="16"/>
          <w:lang w:val="en-US" w:eastAsia="en-US" w:bidi="ar-SA"/>
        </w:rPr>
        <w:t>Bender's Immigration Litigation Forms</w:t>
      </w:r>
    </w:p>
    <w:p>
      <w:pPr>
        <w:spacing w:line="220" w:lineRule="atLeast"/>
        <w:rPr>
          <w:rFonts w:ascii="arial" w:eastAsia="arial" w:hAnsi="arial" w:cs="arial"/>
          <w:sz w:val="20"/>
          <w:lang w:val="en-US" w:eastAsia="en-US" w:bidi="ar-SA"/>
        </w:rPr>
      </w:pPr>
      <w:r>
        <w:rPr>
          <w:rFonts w:ascii="arial" w:eastAsia="arial" w:hAnsi="arial" w:cs="arial"/>
          <w:color w:val="000000"/>
          <w:sz w:val="16"/>
          <w:lang w:val="en-US" w:eastAsia="en-US" w:bidi="ar-SA"/>
        </w:rPr>
        <w:t>Copyright 2019,  Matthew Bender &amp; Company, Inc., a member of the LexisNexis Group.</w:t>
      </w:r>
    </w:p>
    <w:p>
      <w:pPr>
        <w:rPr>
          <w:rFonts w:ascii="arial" w:eastAsia="arial" w:hAnsi="arial" w:cs="arial"/>
          <w:sz w:val="20"/>
          <w:lang w:val="en-US" w:eastAsia="en-US" w:bidi="ar-SA"/>
        </w:rPr>
      </w:pPr>
    </w:p>
    <w:p>
      <w:pPr>
        <w:ind w:left="200"/>
        <w:rPr>
          <w:rFonts w:ascii="arial" w:eastAsia="arial" w:hAnsi="arial" w:cs="arial"/>
          <w:sz w:val="20"/>
          <w:lang w:val="en-US" w:eastAsia="en-US" w:bidi="ar-SA"/>
        </w:rPr>
      </w:pPr>
      <w:r>
        <w:rPr>
          <w:rFonts w:ascii="arial" w:eastAsia="arial" w:hAnsi="arial" w:cs="arial"/>
          <w:sz w:val="20"/>
          <w:lang w:val="en-US" w:eastAsia="en-US" w:bidi="ar-SA"/>
        </w:rPr>
        <w:br/>
      </w:r>
      <w:r>
        <w:pict>
          <v:line id="_x0000_s1027" style="position:absolute;z-index:251659264"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1 </w:t>
      </w:r>
      <w:r>
        <w:rPr>
          <w:rFonts w:ascii="arial" w:eastAsia="arial" w:hAnsi="arial" w:cs="arial"/>
          <w:b w:val="0"/>
          <w:i w:val="0"/>
          <w:strike w:val="0"/>
          <w:noProof w:val="0"/>
          <w:color w:val="000000"/>
          <w:position w:val="0"/>
          <w:sz w:val="18"/>
          <w:u w:val="none"/>
          <w:vertAlign w:val="baseline"/>
        </w:rPr>
        <w:t xml:space="preserve">Immigration and Customs Enforcement already uses electronic monitoring as an alternative to detention under appropriate circumstances. Counsel is aware that the program has been used in the Southern California area, because the government agreed to it in another one of counsel's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cases.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1" w:history="1">
        <w:r>
          <w:rPr>
            <w:rFonts w:ascii="arial" w:eastAsia="arial" w:hAnsi="arial" w:cs="arial"/>
            <w:b w:val="0"/>
            <w:i/>
            <w:strike w:val="0"/>
            <w:noProof w:val="0"/>
            <w:color w:val="0077CC"/>
            <w:position w:val="0"/>
            <w:sz w:val="18"/>
            <w:u w:val="single"/>
            <w:shd w:val="clear" w:color="auto" w:fill="FFFFFF"/>
            <w:vertAlign w:val="baseline"/>
          </w:rPr>
          <w:t>http://www.ice.gov/graphics/news/newsreleases/</w:t>
        </w:r>
      </w:hyperlink>
      <w:r>
        <w:rPr>
          <w:rFonts w:ascii="arial" w:eastAsia="arial" w:hAnsi="arial" w:cs="arial"/>
          <w:b w:val="0"/>
          <w:i w:val="0"/>
          <w:strike w:val="0"/>
          <w:noProof w:val="0"/>
          <w:color w:val="000000"/>
          <w:position w:val="0"/>
          <w:sz w:val="18"/>
          <w:u w:val="none"/>
          <w:vertAlign w:val="baseline"/>
        </w:rPr>
        <w:t xml:space="preserve"> articles/0617O4det.htm. (describing ICE program).</w:t>
      </w:r>
    </w:p>
  </w:footnote>
  <w:footnote w:id="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2 </w:t>
      </w:r>
      <w:r>
        <w:rPr>
          <w:rFonts w:ascii="arial" w:eastAsia="arial" w:hAnsi="arial" w:cs="arial"/>
          <w:b w:val="0"/>
          <w:i w:val="0"/>
          <w:strike w:val="0"/>
          <w:noProof w:val="0"/>
          <w:color w:val="000000"/>
          <w:position w:val="0"/>
          <w:sz w:val="18"/>
          <w:u w:val="none"/>
          <w:vertAlign w:val="baseline"/>
        </w:rPr>
        <w:t>Every exhibit included with this motion was presented to the district court (except for the court's decision itself), and all of the exhibits will be part of the record on appeal.</w:t>
      </w:r>
    </w:p>
  </w:footnote>
  <w:footnote w:id="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3 </w:t>
      </w:r>
      <w:r>
        <w:rPr>
          <w:rFonts w:ascii="arial" w:eastAsia="arial" w:hAnsi="arial" w:cs="arial"/>
          <w:b w:val="0"/>
          <w:i w:val="0"/>
          <w:strike w:val="0"/>
          <w:noProof w:val="0"/>
          <w:color w:val="000000"/>
          <w:position w:val="0"/>
          <w:sz w:val="18"/>
          <w:u w:val="none"/>
          <w:vertAlign w:val="baseline"/>
        </w:rPr>
        <w:t>The government filed its notice of appeal of the Immigration Judge's decision on [e.g. September 30, 2004]. The briefing at the Board was complete on [e.g. January 21, 2005]</w:t>
      </w:r>
      <w:r>
        <w:rPr>
          <w:rFonts w:ascii="arial" w:eastAsia="arial" w:hAnsi="arial" w:cs="arial"/>
          <w:b w:val="0"/>
          <w:i/>
          <w:strike w:val="0"/>
          <w:noProof w:val="0"/>
          <w:color w:val="000000"/>
          <w:position w:val="0"/>
          <w:sz w:val="18"/>
          <w:u w:val="none"/>
          <w:vertAlign w:val="baseline"/>
        </w:rPr>
        <w:t>.</w:t>
      </w:r>
      <w:r>
        <w:rPr>
          <w:rFonts w:ascii="arial" w:eastAsia="arial" w:hAnsi="arial" w:cs="arial"/>
          <w:b w:val="0"/>
          <w:i w:val="0"/>
          <w:strike w:val="0"/>
          <w:noProof w:val="0"/>
          <w:color w:val="000000"/>
          <w:position w:val="0"/>
          <w:sz w:val="18"/>
          <w:u w:val="none"/>
          <w:vertAlign w:val="baseline"/>
        </w:rPr>
        <w:t xml:space="preserve"> As of today, the Board has issued no decision.</w:t>
      </w:r>
    </w:p>
  </w:footnote>
  <w:footnote w:id="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4 </w:t>
      </w:r>
      <w:r>
        <w:rPr>
          <w:rFonts w:ascii="arial" w:eastAsia="arial" w:hAnsi="arial" w:cs="arial"/>
          <w:b w:val="0"/>
          <w:i w:val="0"/>
          <w:strike w:val="0"/>
          <w:noProof w:val="0"/>
          <w:color w:val="000000"/>
          <w:position w:val="0"/>
          <w:sz w:val="18"/>
          <w:u w:val="none"/>
          <w:vertAlign w:val="baseline"/>
        </w:rPr>
        <w:t xml:space="preserve">The statute generally requires that the district court order the government to file a response to the writ in three days, and in no cases in more than twenty days. The statute also requires that the court set any hearing within five days of that response. In light of these stringent time limits, it is clear that Congress's directive that the court ``summarily hear and determine the facts, and dispose of the matter as law and justice require,'' </w:t>
      </w:r>
      <w:hyperlink r:id="rId2" w:history="1">
        <w:r>
          <w:rPr>
            <w:rFonts w:ascii="arial" w:eastAsia="arial" w:hAnsi="arial" w:cs="arial"/>
            <w:b w:val="0"/>
            <w:i w:val="0"/>
            <w:strike w:val="0"/>
            <w:noProof w:val="0"/>
            <w:color w:val="000000"/>
            <w:position w:val="0"/>
            <w:sz w:val="18"/>
            <w:u w:val="none"/>
            <w:vertAlign w:val="baseline"/>
          </w:rPr>
          <w:t>28 U.S.C. §</w:t>
        </w:r>
        <w:r>
          <w:rPr>
            <w:rFonts w:ascii="arial" w:eastAsia="arial" w:hAnsi="arial" w:cs="arial"/>
            <w:b w:val="0"/>
            <w:i w:val="0"/>
            <w:strike w:val="0"/>
            <w:noProof w:val="0"/>
            <w:color w:val="000000"/>
            <w:position w:val="0"/>
            <w:sz w:val="18"/>
            <w:u w:val="none"/>
            <w:vertAlign w:val="baseline"/>
          </w:rPr>
          <w:t> </w:t>
        </w:r>
        <w:r>
          <w:rPr>
            <w:rFonts w:ascii="arial" w:eastAsia="arial" w:hAnsi="arial" w:cs="arial"/>
            <w:b w:val="0"/>
            <w:i/>
            <w:strike w:val="0"/>
            <w:noProof w:val="0"/>
            <w:color w:val="0077CC"/>
            <w:position w:val="0"/>
            <w:sz w:val="18"/>
            <w:u w:val="single"/>
            <w:shd w:val="clear" w:color="auto" w:fill="FFFFFF"/>
            <w:vertAlign w:val="baseline"/>
          </w:rPr>
          <w:t>2243</w:t>
        </w:r>
      </w:hyperlink>
      <w:r>
        <w:rPr>
          <w:rFonts w:ascii="arial" w:eastAsia="arial" w:hAnsi="arial" w:cs="arial"/>
          <w:b w:val="0"/>
          <w:i w:val="0"/>
          <w:strike w:val="0"/>
          <w:noProof w:val="0"/>
          <w:color w:val="000000"/>
          <w:position w:val="0"/>
          <w:sz w:val="18"/>
          <w:u w:val="none"/>
          <w:vertAlign w:val="baseline"/>
        </w:rPr>
        <w:t xml:space="preserve">, contemplates quick resolution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petitions</w:t>
      </w:r>
    </w:p>
  </w:footnote>
  <w:footnote w:id="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5 </w:t>
      </w:r>
      <w:r>
        <w:rPr>
          <w:rFonts w:ascii="arial" w:eastAsia="arial" w:hAnsi="arial" w:cs="arial"/>
          <w:b w:val="0"/>
          <w:i w:val="0"/>
          <w:strike w:val="0"/>
          <w:noProof w:val="0"/>
          <w:color w:val="000000"/>
          <w:position w:val="0"/>
          <w:sz w:val="18"/>
          <w:u w:val="none"/>
          <w:vertAlign w:val="baseline"/>
        </w:rPr>
        <w:t>The government takes no position on Appellant's request for expedited briefing.</w:t>
      </w:r>
    </w:p>
  </w:footnote>
  <w:footnote w:id="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6 </w:t>
      </w:r>
      <w:r>
        <w:rPr>
          <w:rFonts w:ascii="arial" w:eastAsia="arial" w:hAnsi="arial" w:cs="arial"/>
          <w:b w:val="0"/>
          <w:i w:val="0"/>
          <w:strike w:val="0"/>
          <w:noProof w:val="0"/>
          <w:color w:val="000000"/>
          <w:position w:val="0"/>
          <w:sz w:val="18"/>
          <w:u w:val="none"/>
          <w:vertAlign w:val="baseline"/>
        </w:rPr>
        <w:t>Although the transcript of the removal proceeding was made part of the record before the district court, the citations here are to the page numbers from the original transcript of the second hearing.</w:t>
      </w:r>
    </w:p>
  </w:footnote>
  <w:footnote w:id="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7 </w:t>
      </w:r>
      <w:r>
        <w:rPr>
          <w:rFonts w:ascii="arial" w:eastAsia="arial" w:hAnsi="arial" w:cs="arial"/>
          <w:b w:val="0"/>
          <w:i w:val="0"/>
          <w:strike w:val="0"/>
          <w:noProof w:val="0"/>
          <w:color w:val="000000"/>
          <w:position w:val="0"/>
          <w:sz w:val="18"/>
          <w:u w:val="none"/>
          <w:vertAlign w:val="baseline"/>
        </w:rPr>
        <w:t xml:space="preserve">The Immigration Judge determined at Mr. </w:t>
      </w:r>
      <w:r>
        <w:rPr>
          <w:rFonts w:ascii="arial" w:eastAsia="arial" w:hAnsi="arial" w:cs="arial"/>
          <w:b w:val="0"/>
          <w:i w:val="0"/>
          <w:strike w:val="0"/>
          <w:noProof w:val="0"/>
          <w:color w:val="000000"/>
          <w:position w:val="0"/>
          <w:sz w:val="18"/>
          <w:u w:val="none"/>
          <w:vertAlign w:val="baseline"/>
        </w:rPr>
        <w:t>______________________</w:t>
      </w:r>
      <w:r>
        <w:rPr>
          <w:rFonts w:ascii="arial" w:eastAsia="arial" w:hAnsi="arial" w:cs="arial"/>
          <w:b w:val="0"/>
          <w:i w:val="0"/>
          <w:strike w:val="0"/>
          <w:noProof w:val="0"/>
          <w:color w:val="000000"/>
          <w:position w:val="0"/>
          <w:sz w:val="18"/>
          <w:u w:val="none"/>
          <w:vertAlign w:val="baseline"/>
        </w:rPr>
        <w:t>NA's first hearing that he would be eligible for relief under the Convention Against Torture, but granted him asylum, thus obviating the need to grant him any other relief . See Exh. 2 at 48.</w:t>
      </w:r>
    </w:p>
  </w:footnote>
  <w:footnote w:id="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8 </w:t>
      </w:r>
      <w:r>
        <w:rPr>
          <w:rFonts w:ascii="arial" w:eastAsia="arial" w:hAnsi="arial" w:cs="arial"/>
          <w:b w:val="0"/>
          <w:i w:val="0"/>
          <w:strike w:val="0"/>
          <w:noProof w:val="0"/>
          <w:color w:val="000000"/>
          <w:position w:val="0"/>
          <w:sz w:val="18"/>
          <w:u w:val="none"/>
          <w:vertAlign w:val="baseline"/>
        </w:rPr>
        <w:t xml:space="preserve">While it is true that </w:t>
      </w:r>
      <w:r>
        <w:rPr>
          <w:rFonts w:ascii="arial" w:eastAsia="arial" w:hAnsi="arial" w:cs="arial"/>
          <w:b w:val="0"/>
          <w:i/>
          <w:strike w:val="0"/>
          <w:noProof w:val="0"/>
          <w:color w:val="000000"/>
          <w:position w:val="0"/>
          <w:sz w:val="18"/>
          <w:u w:val="none"/>
          <w:vertAlign w:val="baseline"/>
        </w:rPr>
        <w:t>Zadvydas</w:t>
      </w:r>
      <w:r>
        <w:rPr>
          <w:rFonts w:ascii="arial" w:eastAsia="arial" w:hAnsi="arial" w:cs="arial"/>
          <w:b w:val="0"/>
          <w:i w:val="0"/>
          <w:strike w:val="0"/>
          <w:noProof w:val="0"/>
          <w:color w:val="000000"/>
          <w:position w:val="0"/>
          <w:sz w:val="18"/>
          <w:u w:val="none"/>
          <w:vertAlign w:val="baseline"/>
        </w:rPr>
        <w:t xml:space="preserve"> and </w:t>
      </w:r>
      <w:r>
        <w:rPr>
          <w:rFonts w:ascii="arial" w:eastAsia="arial" w:hAnsi="arial" w:cs="arial"/>
          <w:b w:val="0"/>
          <w:i/>
          <w:strike w:val="0"/>
          <w:noProof w:val="0"/>
          <w:color w:val="000000"/>
          <w:position w:val="0"/>
          <w:sz w:val="18"/>
          <w:u w:val="none"/>
          <w:vertAlign w:val="baseline"/>
        </w:rPr>
        <w:t>Clark</w:t>
      </w:r>
      <w:r>
        <w:rPr>
          <w:rFonts w:ascii="arial" w:eastAsia="arial" w:hAnsi="arial" w:cs="arial"/>
          <w:b w:val="0"/>
          <w:i w:val="0"/>
          <w:strike w:val="0"/>
          <w:noProof w:val="0"/>
          <w:color w:val="000000"/>
          <w:position w:val="0"/>
          <w:sz w:val="18"/>
          <w:u w:val="none"/>
          <w:vertAlign w:val="baseline"/>
        </w:rPr>
        <w:t xml:space="preserve"> involved challenges on behalf of aliens who had been ordered removed, whereas Mr. </w:t>
      </w:r>
      <w:r>
        <w:rPr>
          <w:rFonts w:ascii="arial" w:eastAsia="arial" w:hAnsi="arial" w:cs="arial"/>
          <w:b w:val="0"/>
          <w:i w:val="0"/>
          <w:strike w:val="0"/>
          <w:noProof w:val="0"/>
          <w:color w:val="000000"/>
          <w:position w:val="0"/>
          <w:sz w:val="18"/>
          <w:u w:val="none"/>
          <w:vertAlign w:val="baseline"/>
        </w:rPr>
        <w:t>______________________</w:t>
      </w:r>
      <w:r>
        <w:rPr>
          <w:rFonts w:ascii="arial" w:eastAsia="arial" w:hAnsi="arial" w:cs="arial"/>
          <w:b w:val="0"/>
          <w:i w:val="0"/>
          <w:strike w:val="0"/>
          <w:noProof w:val="0"/>
          <w:color w:val="000000"/>
          <w:position w:val="0"/>
          <w:sz w:val="18"/>
          <w:u w:val="none"/>
          <w:vertAlign w:val="baseline"/>
        </w:rPr>
        <w:t xml:space="preserve">NA is still litigating his removal case, that distinction makes no difference here. Indeed, it would be paradoxical for an alien who had already lost his immigration case to have a greater liberty interest in being free from detention than Mr. </w:t>
      </w:r>
      <w:r>
        <w:rPr>
          <w:rFonts w:ascii="arial" w:eastAsia="arial" w:hAnsi="arial" w:cs="arial"/>
          <w:b w:val="0"/>
          <w:i w:val="0"/>
          <w:strike w:val="0"/>
          <w:noProof w:val="0"/>
          <w:color w:val="000000"/>
          <w:position w:val="0"/>
          <w:sz w:val="18"/>
          <w:u w:val="none"/>
          <w:vertAlign w:val="baseline"/>
        </w:rPr>
        <w:t>______________________</w:t>
      </w:r>
      <w:r>
        <w:rPr>
          <w:rFonts w:ascii="arial" w:eastAsia="arial" w:hAnsi="arial" w:cs="arial"/>
          <w:b w:val="0"/>
          <w:i w:val="0"/>
          <w:strike w:val="0"/>
          <w:noProof w:val="0"/>
          <w:color w:val="000000"/>
          <w:position w:val="0"/>
          <w:sz w:val="18"/>
          <w:u w:val="none"/>
          <w:vertAlign w:val="baseline"/>
        </w:rPr>
        <w:t xml:space="preserve">NA, who has never lost his argument that he has a right to live in this country under the asylum laws. In any event, several lower federal courts have applied the limitations on immigration detention established in </w:t>
      </w:r>
      <w:r>
        <w:rPr>
          <w:rFonts w:ascii="arial" w:eastAsia="arial" w:hAnsi="arial" w:cs="arial"/>
          <w:b w:val="0"/>
          <w:i/>
          <w:strike w:val="0"/>
          <w:noProof w:val="0"/>
          <w:color w:val="000000"/>
          <w:position w:val="0"/>
          <w:sz w:val="18"/>
          <w:u w:val="none"/>
          <w:vertAlign w:val="baseline"/>
        </w:rPr>
        <w:t>Zadvydas</w:t>
      </w:r>
      <w:r>
        <w:rPr>
          <w:rFonts w:ascii="arial" w:eastAsia="arial" w:hAnsi="arial" w:cs="arial"/>
          <w:b w:val="0"/>
          <w:i w:val="0"/>
          <w:strike w:val="0"/>
          <w:noProof w:val="0"/>
          <w:color w:val="000000"/>
          <w:position w:val="0"/>
          <w:sz w:val="18"/>
          <w:u w:val="none"/>
          <w:vertAlign w:val="baseline"/>
        </w:rPr>
        <w:t xml:space="preserve"> to prolonged detention pending completion of removal proceedings. </w:t>
      </w:r>
      <w:r>
        <w:rPr>
          <w:rFonts w:ascii="arial" w:eastAsia="arial" w:hAnsi="arial" w:cs="arial"/>
          <w:b w:val="0"/>
          <w:i/>
          <w:strike w:val="0"/>
          <w:noProof w:val="0"/>
          <w:color w:val="000000"/>
          <w:position w:val="0"/>
          <w:sz w:val="18"/>
          <w:u w:val="none"/>
          <w:vertAlign w:val="baseline"/>
        </w:rPr>
        <w:t xml:space="preserve">See </w:t>
      </w:r>
      <w:hyperlink r:id="rId3" w:history="1">
        <w:r>
          <w:rPr>
            <w:rFonts w:ascii="arial" w:eastAsia="arial" w:hAnsi="arial" w:cs="arial"/>
            <w:b w:val="0"/>
            <w:i/>
            <w:strike w:val="0"/>
            <w:noProof w:val="0"/>
            <w:color w:val="0077CC"/>
            <w:position w:val="0"/>
            <w:sz w:val="18"/>
            <w:u w:val="single"/>
            <w:shd w:val="clear" w:color="auto" w:fill="FFFFFF"/>
            <w:vertAlign w:val="baseline"/>
          </w:rPr>
          <w:t>Ly v. Hansen,</w:t>
        </w:r>
      </w:hyperlink>
      <w:hyperlink r:id="rId3" w:history="1">
        <w:r>
          <w:rPr>
            <w:rFonts w:ascii="arial" w:eastAsia="arial" w:hAnsi="arial" w:cs="arial"/>
            <w:b w:val="0"/>
            <w:i/>
            <w:strike w:val="0"/>
            <w:noProof w:val="0"/>
            <w:color w:val="0077CC"/>
            <w:position w:val="0"/>
            <w:sz w:val="18"/>
            <w:u w:val="single"/>
            <w:shd w:val="clear" w:color="auto" w:fill="FFFFFF"/>
            <w:vertAlign w:val="baseline"/>
          </w:rPr>
          <w:t xml:space="preserve"> 351 F.3d 263 (6th Cir. 2003)</w:t>
        </w:r>
      </w:hyperlink>
      <w:r>
        <w:rPr>
          <w:rFonts w:ascii="arial" w:eastAsia="arial" w:hAnsi="arial" w:cs="arial"/>
          <w:b w:val="0"/>
          <w:i w:val="0"/>
          <w:strike w:val="0"/>
          <w:noProof w:val="0"/>
          <w:color w:val="000000"/>
          <w:position w:val="0"/>
          <w:sz w:val="18"/>
          <w:u w:val="none"/>
          <w:vertAlign w:val="baseline"/>
        </w:rPr>
        <w:t xml:space="preserve"> (holding that eighteen month pre-removal detention without bond hearing violated alien's substantive due process rights); </w:t>
      </w:r>
      <w:hyperlink r:id="rId4" w:history="1">
        <w:r>
          <w:rPr>
            <w:rFonts w:ascii="arial" w:eastAsia="arial" w:hAnsi="arial" w:cs="arial"/>
            <w:b w:val="0"/>
            <w:i/>
            <w:strike w:val="0"/>
            <w:noProof w:val="0"/>
            <w:color w:val="0077CC"/>
            <w:position w:val="0"/>
            <w:sz w:val="18"/>
            <w:u w:val="single"/>
            <w:shd w:val="clear" w:color="auto" w:fill="FFFFFF"/>
            <w:vertAlign w:val="baseline"/>
          </w:rPr>
          <w:t>Welch v. Ashcroft,</w:t>
        </w:r>
      </w:hyperlink>
      <w:hyperlink r:id="rId4" w:history="1">
        <w:r>
          <w:rPr>
            <w:rFonts w:ascii="arial" w:eastAsia="arial" w:hAnsi="arial" w:cs="arial"/>
            <w:b w:val="0"/>
            <w:i/>
            <w:strike w:val="0"/>
            <w:noProof w:val="0"/>
            <w:color w:val="0077CC"/>
            <w:position w:val="0"/>
            <w:sz w:val="18"/>
            <w:u w:val="single"/>
            <w:shd w:val="clear" w:color="auto" w:fill="FFFFFF"/>
            <w:vertAlign w:val="baseline"/>
          </w:rPr>
          <w:t xml:space="preserve"> 293 F.3d 213, 224–25 (4th Cir. 2002)</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 xml:space="preserve">overruled in part sub silentio on other grounds, </w:t>
      </w:r>
      <w:hyperlink r:id="rId5" w:history="1">
        <w:r>
          <w:rPr>
            <w:rFonts w:ascii="arial" w:eastAsia="arial" w:hAnsi="arial" w:cs="arial"/>
            <w:b w:val="0"/>
            <w:i/>
            <w:strike w:val="0"/>
            <w:noProof w:val="0"/>
            <w:color w:val="0077CC"/>
            <w:position w:val="0"/>
            <w:sz w:val="18"/>
            <w:u w:val="single"/>
            <w:shd w:val="clear" w:color="auto" w:fill="FFFFFF"/>
            <w:vertAlign w:val="baseline"/>
          </w:rPr>
          <w:t>Demore</w:t>
        </w:r>
      </w:hyperlink>
      <w:hyperlink r:id="rId5"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5" w:history="1">
        <w:r>
          <w:rPr>
            <w:rFonts w:ascii="arial" w:eastAsia="arial" w:hAnsi="arial" w:cs="arial"/>
            <w:b w:val="0"/>
            <w:i/>
            <w:strike w:val="0"/>
            <w:noProof w:val="0"/>
            <w:color w:val="0077CC"/>
            <w:position w:val="0"/>
            <w:sz w:val="18"/>
            <w:u w:val="single"/>
            <w:shd w:val="clear" w:color="auto" w:fill="FFFFFF"/>
            <w:vertAlign w:val="baseline"/>
          </w:rPr>
          <w:t>Kim,</w:t>
        </w:r>
      </w:hyperlink>
      <w:hyperlink r:id="rId5" w:history="1">
        <w:r>
          <w:rPr>
            <w:rFonts w:ascii="arial" w:eastAsia="arial" w:hAnsi="arial" w:cs="arial"/>
            <w:b w:val="0"/>
            <w:i/>
            <w:strike w:val="0"/>
            <w:noProof w:val="0"/>
            <w:color w:val="0077CC"/>
            <w:position w:val="0"/>
            <w:sz w:val="18"/>
            <w:u w:val="single"/>
            <w:shd w:val="clear" w:color="auto" w:fill="FFFFFF"/>
            <w:vertAlign w:val="baseline"/>
          </w:rPr>
          <w:t xml:space="preserve"> 538 U.S. 510 (2003)</w:t>
        </w:r>
      </w:hyperlink>
      <w:r>
        <w:rPr>
          <w:rFonts w:ascii="arial" w:eastAsia="arial" w:hAnsi="arial" w:cs="arial"/>
          <w:b w:val="0"/>
          <w:i w:val="0"/>
          <w:strike w:val="0"/>
          <w:noProof w:val="0"/>
          <w:color w:val="000000"/>
          <w:position w:val="0"/>
          <w:sz w:val="18"/>
          <w:u w:val="none"/>
          <w:vertAlign w:val="baseline"/>
        </w:rPr>
        <w:t xml:space="preserve"> (holding that fourteen month mandatory detention prior to final removal order was excessive in violation of substantive due process); </w:t>
      </w:r>
      <w:hyperlink r:id="rId6" w:history="1">
        <w:r>
          <w:rPr>
            <w:rFonts w:ascii="arial" w:eastAsia="arial" w:hAnsi="arial" w:cs="arial"/>
            <w:b w:val="0"/>
            <w:i/>
            <w:strike w:val="0"/>
            <w:noProof w:val="0"/>
            <w:color w:val="0077CC"/>
            <w:position w:val="0"/>
            <w:sz w:val="18"/>
            <w:u w:val="single"/>
            <w:shd w:val="clear" w:color="auto" w:fill="FFFFFF"/>
            <w:vertAlign w:val="baseline"/>
          </w:rPr>
          <w:t>Oyedeji v. Ashcroft,</w:t>
        </w:r>
      </w:hyperlink>
      <w:hyperlink r:id="rId6" w:history="1">
        <w:r>
          <w:rPr>
            <w:rFonts w:ascii="arial" w:eastAsia="arial" w:hAnsi="arial" w:cs="arial"/>
            <w:b w:val="0"/>
            <w:i/>
            <w:strike w:val="0"/>
            <w:noProof w:val="0"/>
            <w:color w:val="0077CC"/>
            <w:position w:val="0"/>
            <w:sz w:val="18"/>
            <w:u w:val="single"/>
            <w:shd w:val="clear" w:color="auto" w:fill="FFFFFF"/>
            <w:vertAlign w:val="baseline"/>
          </w:rPr>
          <w:t xml:space="preserve"> 332 F.Supp. 2d 747, 753 (M.D. Pa. 2004)</w:t>
        </w:r>
      </w:hyperlink>
      <w:r>
        <w:rPr>
          <w:rFonts w:ascii="arial" w:eastAsia="arial" w:hAnsi="arial" w:cs="arial"/>
          <w:b w:val="0"/>
          <w:i w:val="0"/>
          <w:strike w:val="0"/>
          <w:noProof w:val="0"/>
          <w:color w:val="000000"/>
          <w:position w:val="0"/>
          <w:sz w:val="18"/>
          <w:u w:val="none"/>
          <w:vertAlign w:val="baseline"/>
        </w:rPr>
        <w:t xml:space="preserve"> (granting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relief to alien detained for approximately four years while pursuing nonfrivolous challenge to removal order); </w:t>
      </w:r>
      <w:hyperlink r:id="rId7" w:history="1">
        <w:r>
          <w:rPr>
            <w:rFonts w:ascii="arial" w:eastAsia="arial" w:hAnsi="arial" w:cs="arial"/>
            <w:b w:val="0"/>
            <w:i/>
            <w:strike w:val="0"/>
            <w:noProof w:val="0"/>
            <w:color w:val="0077CC"/>
            <w:position w:val="0"/>
            <w:sz w:val="18"/>
            <w:u w:val="single"/>
            <w:shd w:val="clear" w:color="auto" w:fill="FFFFFF"/>
            <w:vertAlign w:val="baseline"/>
          </w:rPr>
          <w:t>Lawson v. Gerlinski,</w:t>
        </w:r>
      </w:hyperlink>
      <w:hyperlink r:id="rId7" w:history="1">
        <w:r>
          <w:rPr>
            <w:rFonts w:ascii="arial" w:eastAsia="arial" w:hAnsi="arial" w:cs="arial"/>
            <w:b w:val="0"/>
            <w:i/>
            <w:strike w:val="0"/>
            <w:noProof w:val="0"/>
            <w:color w:val="0077CC"/>
            <w:position w:val="0"/>
            <w:sz w:val="18"/>
            <w:u w:val="single"/>
            <w:shd w:val="clear" w:color="auto" w:fill="FFFFFF"/>
            <w:vertAlign w:val="baseline"/>
          </w:rPr>
          <w:t xml:space="preserve"> 332 F.Supp.2d 735, 745 (M.D.Pa. 2004)</w:t>
        </w:r>
      </w:hyperlink>
      <w:r>
        <w:rPr>
          <w:rFonts w:ascii="arial" w:eastAsia="arial" w:hAnsi="arial" w:cs="arial"/>
          <w:b w:val="0"/>
          <w:i w:val="0"/>
          <w:strike w:val="0"/>
          <w:noProof w:val="0"/>
          <w:color w:val="000000"/>
          <w:position w:val="0"/>
          <w:sz w:val="18"/>
          <w:u w:val="none"/>
          <w:vertAlign w:val="baseline"/>
        </w:rPr>
        <w:t xml:space="preserve"> (granting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relief to alien detained eighteen months pending challenge to removal order).</w:t>
      </w:r>
    </w:p>
  </w:footnote>
  <w:footnote w:id="8">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Exh. 4 at 69 (finding of Immigration Judge that informant's testimony was inaccurate). The confidential informant's error in this regard is critical both because it shows that the informant's information was false concerning a very basic fact about Mr. </w:t>
      </w:r>
      <w:r>
        <w:rPr>
          <w:rFonts w:ascii="arial" w:eastAsia="arial" w:hAnsi="arial" w:cs="arial"/>
          <w:b w:val="0"/>
          <w:i w:val="0"/>
          <w:strike w:val="0"/>
          <w:noProof w:val="0"/>
          <w:color w:val="000000"/>
          <w:position w:val="0"/>
          <w:sz w:val="18"/>
          <w:u w:val="none"/>
          <w:vertAlign w:val="baseline"/>
        </w:rPr>
        <w:t>______________________</w:t>
      </w:r>
      <w:r>
        <w:rPr>
          <w:rFonts w:ascii="arial" w:eastAsia="arial" w:hAnsi="arial" w:cs="arial"/>
          <w:b w:val="0"/>
          <w:i w:val="0"/>
          <w:strike w:val="0"/>
          <w:noProof w:val="0"/>
          <w:color w:val="000000"/>
          <w:position w:val="0"/>
          <w:sz w:val="18"/>
          <w:u w:val="none"/>
          <w:vertAlign w:val="baseline"/>
        </w:rPr>
        <w:t xml:space="preserve">NA and because, as the government agent himself conceded, the agent's belief that Mr. </w:t>
      </w:r>
      <w:r>
        <w:rPr>
          <w:rFonts w:ascii="arial" w:eastAsia="arial" w:hAnsi="arial" w:cs="arial"/>
          <w:b w:val="0"/>
          <w:i w:val="0"/>
          <w:strike w:val="0"/>
          <w:noProof w:val="0"/>
          <w:color w:val="000000"/>
          <w:position w:val="0"/>
          <w:sz w:val="18"/>
          <w:u w:val="none"/>
          <w:vertAlign w:val="baseline"/>
        </w:rPr>
        <w:t>______________________</w:t>
      </w:r>
      <w:r>
        <w:rPr>
          <w:rFonts w:ascii="arial" w:eastAsia="arial" w:hAnsi="arial" w:cs="arial"/>
          <w:b w:val="0"/>
          <w:i w:val="0"/>
          <w:strike w:val="0"/>
          <w:noProof w:val="0"/>
          <w:color w:val="000000"/>
          <w:position w:val="0"/>
          <w:sz w:val="18"/>
          <w:u w:val="none"/>
          <w:vertAlign w:val="baseline"/>
        </w:rPr>
        <w:t xml:space="preserve">NA was a member of the terrorist group LTTE turned entirely on his acceptance of the informant's statement that Mr. </w:t>
      </w:r>
      <w:r>
        <w:rPr>
          <w:rFonts w:ascii="arial" w:eastAsia="arial" w:hAnsi="arial" w:cs="arial"/>
          <w:b w:val="0"/>
          <w:i w:val="0"/>
          <w:strike w:val="0"/>
          <w:noProof w:val="0"/>
          <w:color w:val="000000"/>
          <w:position w:val="0"/>
          <w:sz w:val="18"/>
          <w:u w:val="none"/>
          <w:vertAlign w:val="baseline"/>
        </w:rPr>
        <w:t>______________________</w:t>
      </w:r>
      <w:r>
        <w:rPr>
          <w:rFonts w:ascii="arial" w:eastAsia="arial" w:hAnsi="arial" w:cs="arial"/>
          <w:b w:val="0"/>
          <w:i w:val="0"/>
          <w:strike w:val="0"/>
          <w:noProof w:val="0"/>
          <w:color w:val="000000"/>
          <w:position w:val="0"/>
          <w:sz w:val="18"/>
          <w:u w:val="none"/>
          <w:vertAlign w:val="baseline"/>
        </w:rPr>
        <w:t xml:space="preserve">NA's village in Sri Lanka was under LTTE control. Exh. 7 at 178–79. Thus, even under the agent's own account, if Mr. </w:t>
      </w:r>
      <w:r>
        <w:rPr>
          <w:rFonts w:ascii="arial" w:eastAsia="arial" w:hAnsi="arial" w:cs="arial"/>
          <w:b w:val="0"/>
          <w:i w:val="0"/>
          <w:strike w:val="0"/>
          <w:noProof w:val="0"/>
          <w:color w:val="000000"/>
          <w:position w:val="0"/>
          <w:sz w:val="18"/>
          <w:u w:val="none"/>
          <w:vertAlign w:val="baseline"/>
        </w:rPr>
        <w:t>______________________</w:t>
      </w:r>
      <w:r>
        <w:rPr>
          <w:rFonts w:ascii="arial" w:eastAsia="arial" w:hAnsi="arial" w:cs="arial"/>
          <w:b w:val="0"/>
          <w:i w:val="0"/>
          <w:strike w:val="0"/>
          <w:noProof w:val="0"/>
          <w:color w:val="000000"/>
          <w:position w:val="0"/>
          <w:sz w:val="18"/>
          <w:u w:val="none"/>
          <w:vertAlign w:val="baseline"/>
        </w:rPr>
        <w:t xml:space="preserve">NA were not from an LTTE-held area, there would be no basis for concluding that he was a member of LTTE or that he needed LTTE's assistance to leave Sri Lanka. The Immigration Judge stated as much in his second decision.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Exh. 4 at 69.</w:t>
      </w:r>
    </w:p>
  </w:footnote>
  <w:footnote w:id="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10 </w:t>
      </w:r>
      <w:r>
        <w:rPr>
          <w:rFonts w:ascii="arial" w:eastAsia="arial" w:hAnsi="arial" w:cs="arial"/>
          <w:b w:val="0"/>
          <w:i w:val="0"/>
          <w:strike w:val="0"/>
          <w:noProof w:val="0"/>
          <w:color w:val="000000"/>
          <w:position w:val="0"/>
          <w:sz w:val="18"/>
          <w:u w:val="none"/>
          <w:vertAlign w:val="baseline"/>
        </w:rPr>
        <w:t xml:space="preserve">The informant claimed that Mr. </w:t>
      </w:r>
      <w:r>
        <w:rPr>
          <w:rFonts w:ascii="arial" w:eastAsia="arial" w:hAnsi="arial" w:cs="arial"/>
          <w:b w:val="0"/>
          <w:i w:val="0"/>
          <w:strike w:val="0"/>
          <w:noProof w:val="0"/>
          <w:color w:val="000000"/>
          <w:position w:val="0"/>
          <w:sz w:val="18"/>
          <w:u w:val="none"/>
          <w:vertAlign w:val="baseline"/>
        </w:rPr>
        <w:t>______________________</w:t>
      </w:r>
      <w:r>
        <w:rPr>
          <w:rFonts w:ascii="arial" w:eastAsia="arial" w:hAnsi="arial" w:cs="arial"/>
          <w:b w:val="0"/>
          <w:i w:val="0"/>
          <w:strike w:val="0"/>
          <w:noProof w:val="0"/>
          <w:color w:val="000000"/>
          <w:position w:val="0"/>
          <w:sz w:val="18"/>
          <w:u w:val="none"/>
          <w:vertAlign w:val="baseline"/>
        </w:rPr>
        <w:t xml:space="preserve">NA made a phone call with another person in which they ordered that a third person be killed. However, the person with whom Mr. </w:t>
      </w:r>
      <w:r>
        <w:rPr>
          <w:rFonts w:ascii="arial" w:eastAsia="arial" w:hAnsi="arial" w:cs="arial"/>
          <w:b w:val="0"/>
          <w:i w:val="0"/>
          <w:strike w:val="0"/>
          <w:noProof w:val="0"/>
          <w:color w:val="000000"/>
          <w:position w:val="0"/>
          <w:sz w:val="18"/>
          <w:u w:val="none"/>
          <w:vertAlign w:val="baseline"/>
        </w:rPr>
        <w:t>______________________</w:t>
      </w:r>
      <w:r>
        <w:rPr>
          <w:rFonts w:ascii="arial" w:eastAsia="arial" w:hAnsi="arial" w:cs="arial"/>
          <w:b w:val="0"/>
          <w:i w:val="0"/>
          <w:strike w:val="0"/>
          <w:noProof w:val="0"/>
          <w:color w:val="000000"/>
          <w:position w:val="0"/>
          <w:sz w:val="18"/>
          <w:u w:val="none"/>
          <w:vertAlign w:val="baseline"/>
        </w:rPr>
        <w:t xml:space="preserve">NA allegedly made the call, according to the informant, was a </w:t>
      </w:r>
      <w:r>
        <w:rPr>
          <w:rFonts w:ascii="arial" w:eastAsia="arial" w:hAnsi="arial" w:cs="arial"/>
          <w:b w:val="0"/>
          <w:i/>
          <w:strike w:val="0"/>
          <w:noProof w:val="0"/>
          <w:color w:val="000000"/>
          <w:position w:val="0"/>
          <w:sz w:val="18"/>
          <w:u w:val="none"/>
          <w:vertAlign w:val="baseline"/>
        </w:rPr>
        <w:t>woman</w:t>
      </w:r>
      <w:r>
        <w:rPr>
          <w:rFonts w:ascii="arial" w:eastAsia="arial" w:hAnsi="arial" w:cs="arial"/>
          <w:b w:val="0"/>
          <w:i w:val="0"/>
          <w:strike w:val="0"/>
          <w:noProof w:val="0"/>
          <w:color w:val="000000"/>
          <w:position w:val="0"/>
          <w:sz w:val="18"/>
          <w:u w:val="none"/>
          <w:vertAlign w:val="baseline"/>
        </w:rPr>
        <w:t xml:space="preserve"> who was also detained at the same </w:t>
      </w:r>
      <w:r>
        <w:rPr>
          <w:rFonts w:ascii="arial" w:eastAsia="arial" w:hAnsi="arial" w:cs="arial"/>
          <w:b w:val="0"/>
          <w:i/>
          <w:strike w:val="0"/>
          <w:noProof w:val="0"/>
          <w:color w:val="000000"/>
          <w:position w:val="0"/>
          <w:sz w:val="18"/>
          <w:u w:val="none"/>
          <w:vertAlign w:val="baseline"/>
        </w:rPr>
        <w:t>gender-segregated</w:t>
      </w:r>
      <w:r>
        <w:rPr>
          <w:rFonts w:ascii="arial" w:eastAsia="arial" w:hAnsi="arial" w:cs="arial"/>
          <w:b w:val="0"/>
          <w:i w:val="0"/>
          <w:strike w:val="0"/>
          <w:noProof w:val="0"/>
          <w:color w:val="000000"/>
          <w:position w:val="0"/>
          <w:sz w:val="18"/>
          <w:u w:val="none"/>
          <w:vertAlign w:val="baseline"/>
        </w:rPr>
        <w:t xml:space="preserve"> facility in which Mr. </w:t>
      </w:r>
      <w:r>
        <w:rPr>
          <w:rFonts w:ascii="arial" w:eastAsia="arial" w:hAnsi="arial" w:cs="arial"/>
          <w:b w:val="0"/>
          <w:i w:val="0"/>
          <w:strike w:val="0"/>
          <w:noProof w:val="0"/>
          <w:color w:val="000000"/>
          <w:position w:val="0"/>
          <w:sz w:val="18"/>
          <w:u w:val="none"/>
          <w:vertAlign w:val="baseline"/>
        </w:rPr>
        <w:t>______________________</w:t>
      </w:r>
      <w:r>
        <w:rPr>
          <w:rFonts w:ascii="arial" w:eastAsia="arial" w:hAnsi="arial" w:cs="arial"/>
          <w:b w:val="0"/>
          <w:i w:val="0"/>
          <w:strike w:val="0"/>
          <w:noProof w:val="0"/>
          <w:color w:val="000000"/>
          <w:position w:val="0"/>
          <w:sz w:val="18"/>
          <w:u w:val="none"/>
          <w:vertAlign w:val="baseline"/>
        </w:rPr>
        <w:t>NA resided at the time of the alleged phone call. As the government agent acknowledged on cross-examination, because the facility is gender-segregated, there is no way for men and women to mix in the facility and make phone calls together. Thus, the alleged phone call simply could not have happened. Exh. 8 at 118–22.</w:t>
      </w:r>
    </w:p>
  </w:footnote>
  <w:footnote w:id="1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11 </w:t>
      </w:r>
      <w:r>
        <w:rPr>
          <w:rFonts w:ascii="arial" w:eastAsia="arial" w:hAnsi="arial" w:cs="arial"/>
          <w:b w:val="0"/>
          <w:i w:val="0"/>
          <w:strike w:val="0"/>
          <w:noProof w:val="0"/>
          <w:color w:val="000000"/>
          <w:position w:val="0"/>
          <w:sz w:val="18"/>
          <w:u w:val="none"/>
          <w:vertAlign w:val="baseline"/>
        </w:rPr>
        <w:t xml:space="preserve">For example, the agent admitted that the informant may well have had no personal knowledge of a number of things he described.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Exh. 8 at 118 (``I talked to my asset, who gave me the information, and where he got that information from I can't say''). The cross-examination of the agent on this point is particularly instructive:</w:t>
      </w:r>
    </w:p>
    <w:p>
      <w:pPr>
        <w:keepNext w:val="0"/>
        <w:spacing w:before="200" w:after="0" w:line="240" w:lineRule="atLeast"/>
        <w:ind w:left="0" w:right="0" w:firstLine="0"/>
        <w:jc w:val="both"/>
      </w:pPr>
      <w:r>
        <w:rPr>
          <w:rFonts w:ascii="arial" w:eastAsia="arial" w:hAnsi="arial" w:cs="arial"/>
          <w:b/>
          <w:i w:val="0"/>
          <w:strike w:val="0"/>
          <w:noProof w:val="0"/>
          <w:color w:val="000000"/>
          <w:position w:val="0"/>
          <w:sz w:val="18"/>
          <w:u w:val="none"/>
          <w:vertAlign w:val="baseline"/>
        </w:rPr>
        <w:t>Q:</w:t>
      </w:r>
      <w:r>
        <w:rPr>
          <w:rFonts w:ascii="arial" w:eastAsia="arial" w:hAnsi="arial" w:cs="arial"/>
          <w:b w:val="0"/>
          <w:i w:val="0"/>
          <w:strike w:val="0"/>
          <w:noProof w:val="0"/>
          <w:color w:val="000000"/>
          <w:position w:val="0"/>
          <w:sz w:val="18"/>
          <w:u w:val="none"/>
          <w:vertAlign w:val="baseline"/>
        </w:rPr>
        <w:t xml:space="preserve"> So you don't know whether or not the information regarding Mr. </w:t>
      </w:r>
      <w:r>
        <w:rPr>
          <w:rFonts w:ascii="arial" w:eastAsia="arial" w:hAnsi="arial" w:cs="arial"/>
          <w:b w:val="0"/>
          <w:i w:val="0"/>
          <w:strike w:val="0"/>
          <w:noProof w:val="0"/>
          <w:color w:val="000000"/>
          <w:position w:val="0"/>
          <w:sz w:val="18"/>
          <w:u w:val="none"/>
          <w:vertAlign w:val="baseline"/>
        </w:rPr>
        <w:t>______________________</w:t>
      </w:r>
      <w:r>
        <w:rPr>
          <w:rFonts w:ascii="arial" w:eastAsia="arial" w:hAnsi="arial" w:cs="arial"/>
          <w:b w:val="0"/>
          <w:i w:val="0"/>
          <w:strike w:val="0"/>
          <w:noProof w:val="0"/>
          <w:color w:val="000000"/>
          <w:position w:val="0"/>
          <w:sz w:val="18"/>
          <w:u w:val="none"/>
          <w:vertAlign w:val="baseline"/>
        </w:rPr>
        <w:t>NA this informant gave you actually came from someone else, right?</w:t>
      </w:r>
    </w:p>
    <w:p>
      <w:pPr>
        <w:keepNext w:val="0"/>
        <w:spacing w:before="200" w:after="0" w:line="240" w:lineRule="atLeast"/>
        <w:ind w:left="0" w:right="0" w:firstLine="0"/>
        <w:jc w:val="both"/>
      </w:pPr>
      <w:r>
        <w:rPr>
          <w:rFonts w:ascii="arial" w:eastAsia="arial" w:hAnsi="arial" w:cs="arial"/>
          <w:b/>
          <w:i w:val="0"/>
          <w:strike w:val="0"/>
          <w:noProof w:val="0"/>
          <w:color w:val="000000"/>
          <w:position w:val="0"/>
          <w:sz w:val="18"/>
          <w:u w:val="none"/>
          <w:vertAlign w:val="baseline"/>
        </w:rPr>
        <w:t>A:</w:t>
      </w:r>
      <w:r>
        <w:rPr>
          <w:rFonts w:ascii="arial" w:eastAsia="arial" w:hAnsi="arial" w:cs="arial"/>
          <w:b w:val="0"/>
          <w:i w:val="0"/>
          <w:strike w:val="0"/>
          <w:noProof w:val="0"/>
          <w:color w:val="000000"/>
          <w:position w:val="0"/>
          <w:sz w:val="18"/>
          <w:u w:val="none"/>
          <w:vertAlign w:val="baseline"/>
        </w:rPr>
        <w:t> I don't know.</w:t>
      </w:r>
    </w:p>
    <w:p>
      <w:pPr>
        <w:keepNext w:val="0"/>
        <w:spacing w:before="200" w:after="0" w:line="240" w:lineRule="atLeast"/>
        <w:ind w:left="0" w:right="0" w:firstLine="0"/>
        <w:jc w:val="both"/>
      </w:pPr>
      <w:r>
        <w:rPr>
          <w:rFonts w:ascii="arial" w:eastAsia="arial" w:hAnsi="arial" w:cs="arial"/>
          <w:b/>
          <w:i w:val="0"/>
          <w:strike w:val="0"/>
          <w:noProof w:val="0"/>
          <w:color w:val="000000"/>
          <w:position w:val="0"/>
          <w:sz w:val="18"/>
          <w:u w:val="none"/>
          <w:vertAlign w:val="baseline"/>
        </w:rPr>
        <w:t>Q:</w:t>
      </w:r>
      <w:r>
        <w:rPr>
          <w:rFonts w:ascii="arial" w:eastAsia="arial" w:hAnsi="arial" w:cs="arial"/>
          <w:b w:val="0"/>
          <w:i w:val="0"/>
          <w:strike w:val="0"/>
          <w:noProof w:val="0"/>
          <w:color w:val="000000"/>
          <w:position w:val="0"/>
          <w:sz w:val="18"/>
          <w:u w:val="none"/>
          <w:vertAlign w:val="baseline"/>
        </w:rPr>
        <w:t> Okay. So if it did, you wouldn't have trusted the reliability of that person, right?</w:t>
      </w:r>
    </w:p>
    <w:p>
      <w:pPr>
        <w:keepNext w:val="0"/>
        <w:spacing w:before="200" w:after="0" w:line="240" w:lineRule="atLeast"/>
        <w:ind w:left="0" w:right="0" w:firstLine="0"/>
        <w:jc w:val="both"/>
      </w:pPr>
      <w:r>
        <w:rPr>
          <w:rFonts w:ascii="arial" w:eastAsia="arial" w:hAnsi="arial" w:cs="arial"/>
          <w:b/>
          <w:i w:val="0"/>
          <w:strike w:val="0"/>
          <w:noProof w:val="0"/>
          <w:color w:val="000000"/>
          <w:position w:val="0"/>
          <w:sz w:val="18"/>
          <w:u w:val="none"/>
          <w:vertAlign w:val="baseline"/>
        </w:rPr>
        <w:t>A:</w:t>
      </w:r>
      <w:r>
        <w:rPr>
          <w:rFonts w:ascii="arial" w:eastAsia="arial" w:hAnsi="arial" w:cs="arial"/>
          <w:b w:val="0"/>
          <w:i w:val="0"/>
          <w:strike w:val="0"/>
          <w:noProof w:val="0"/>
          <w:color w:val="000000"/>
          <w:position w:val="0"/>
          <w:sz w:val="18"/>
          <w:u w:val="none"/>
          <w:vertAlign w:val="baseline"/>
        </w:rPr>
        <w:t> If it came from someone else, I don't know who that person is.</w:t>
      </w:r>
    </w:p>
    <w:p>
      <w:pPr>
        <w:keepNext w:val="0"/>
        <w:spacing w:before="200" w:after="0" w:line="240" w:lineRule="atLeast"/>
        <w:ind w:left="0" w:right="0" w:firstLine="0"/>
        <w:jc w:val="both"/>
      </w:pPr>
      <w:r>
        <w:rPr>
          <w:rFonts w:ascii="arial" w:eastAsia="arial" w:hAnsi="arial" w:cs="arial"/>
          <w:b/>
          <w:i w:val="0"/>
          <w:strike w:val="0"/>
          <w:noProof w:val="0"/>
          <w:color w:val="000000"/>
          <w:position w:val="0"/>
          <w:sz w:val="18"/>
          <w:u w:val="none"/>
          <w:vertAlign w:val="baseline"/>
        </w:rPr>
        <w:t>Q:</w:t>
      </w:r>
      <w:r>
        <w:rPr>
          <w:rFonts w:ascii="arial" w:eastAsia="arial" w:hAnsi="arial" w:cs="arial"/>
          <w:b w:val="0"/>
          <w:i w:val="0"/>
          <w:strike w:val="0"/>
          <w:noProof w:val="0"/>
          <w:color w:val="000000"/>
          <w:position w:val="0"/>
          <w:sz w:val="18"/>
          <w:u w:val="none"/>
          <w:vertAlign w:val="baseline"/>
        </w:rPr>
        <w:t xml:space="preserve"> Okay. When you spoke to the informant, and the informant gave you this information, did you ask the informant how he or she knew that Mr. </w:t>
      </w:r>
      <w:r>
        <w:rPr>
          <w:rFonts w:ascii="arial" w:eastAsia="arial" w:hAnsi="arial" w:cs="arial"/>
          <w:b w:val="0"/>
          <w:i w:val="0"/>
          <w:strike w:val="0"/>
          <w:noProof w:val="0"/>
          <w:color w:val="000000"/>
          <w:position w:val="0"/>
          <w:sz w:val="18"/>
          <w:u w:val="none"/>
          <w:vertAlign w:val="baseline"/>
        </w:rPr>
        <w:t>______________________</w:t>
      </w:r>
      <w:r>
        <w:rPr>
          <w:rFonts w:ascii="arial" w:eastAsia="arial" w:hAnsi="arial" w:cs="arial"/>
          <w:b w:val="0"/>
          <w:i w:val="0"/>
          <w:strike w:val="0"/>
          <w:noProof w:val="0"/>
          <w:color w:val="000000"/>
          <w:position w:val="0"/>
          <w:sz w:val="18"/>
          <w:u w:val="none"/>
          <w:vertAlign w:val="baseline"/>
        </w:rPr>
        <w:t>NA was an LTTE member?</w:t>
      </w:r>
    </w:p>
    <w:p>
      <w:pPr>
        <w:keepNext w:val="0"/>
        <w:spacing w:before="200" w:after="0" w:line="240" w:lineRule="atLeast"/>
        <w:ind w:left="0" w:right="0" w:firstLine="0"/>
        <w:jc w:val="both"/>
      </w:pPr>
      <w:r>
        <w:rPr>
          <w:rFonts w:ascii="arial" w:eastAsia="arial" w:hAnsi="arial" w:cs="arial"/>
          <w:b/>
          <w:i w:val="0"/>
          <w:strike w:val="0"/>
          <w:noProof w:val="0"/>
          <w:color w:val="000000"/>
          <w:position w:val="0"/>
          <w:sz w:val="18"/>
          <w:u w:val="none"/>
          <w:vertAlign w:val="baseline"/>
        </w:rPr>
        <w:t>A:</w:t>
      </w:r>
      <w:r>
        <w:rPr>
          <w:rFonts w:ascii="arial" w:eastAsia="arial" w:hAnsi="arial" w:cs="arial"/>
          <w:b w:val="0"/>
          <w:i w:val="0"/>
          <w:strike w:val="0"/>
          <w:noProof w:val="0"/>
          <w:color w:val="000000"/>
          <w:position w:val="0"/>
          <w:sz w:val="18"/>
          <w:u w:val="none"/>
          <w:vertAlign w:val="baseline"/>
        </w:rPr>
        <w:t> No, it was a statement that was provided to me.</w:t>
      </w:r>
    </w:p>
    <w:p>
      <w:pPr>
        <w:keepNext w:val="0"/>
        <w:spacing w:before="200" w:after="0" w:line="240" w:lineRule="atLeast"/>
        <w:ind w:left="0" w:right="0" w:firstLine="0"/>
        <w:jc w:val="both"/>
      </w:pPr>
      <w:r>
        <w:rPr>
          <w:rFonts w:ascii="arial" w:eastAsia="arial" w:hAnsi="arial" w:cs="arial"/>
          <w:b/>
          <w:i w:val="0"/>
          <w:strike w:val="0"/>
          <w:noProof w:val="0"/>
          <w:color w:val="000000"/>
          <w:position w:val="0"/>
          <w:sz w:val="18"/>
          <w:u w:val="none"/>
          <w:vertAlign w:val="baseline"/>
        </w:rPr>
        <w:t>Q:</w:t>
      </w:r>
      <w:r>
        <w:rPr>
          <w:rFonts w:ascii="arial" w:eastAsia="arial" w:hAnsi="arial" w:cs="arial"/>
          <w:b w:val="0"/>
          <w:i w:val="0"/>
          <w:strike w:val="0"/>
          <w:noProof w:val="0"/>
          <w:color w:val="000000"/>
          <w:position w:val="0"/>
          <w:sz w:val="18"/>
          <w:u w:val="none"/>
          <w:vertAlign w:val="baseline"/>
        </w:rPr>
        <w:t> Okay. So you didn't try to find out sort of how the person came to have this knowledge?</w:t>
      </w:r>
    </w:p>
    <w:p>
      <w:pPr>
        <w:keepNext w:val="0"/>
        <w:spacing w:before="200" w:after="0" w:line="240" w:lineRule="atLeast"/>
        <w:ind w:left="0" w:right="0" w:firstLine="0"/>
        <w:jc w:val="both"/>
      </w:pPr>
      <w:r>
        <w:rPr>
          <w:rFonts w:ascii="arial" w:eastAsia="arial" w:hAnsi="arial" w:cs="arial"/>
          <w:b/>
          <w:i w:val="0"/>
          <w:strike w:val="0"/>
          <w:noProof w:val="0"/>
          <w:color w:val="000000"/>
          <w:position w:val="0"/>
          <w:sz w:val="18"/>
          <w:u w:val="none"/>
          <w:vertAlign w:val="baseline"/>
        </w:rPr>
        <w:t>A:</w:t>
      </w:r>
      <w:r>
        <w:rPr>
          <w:rFonts w:ascii="arial" w:eastAsia="arial" w:hAnsi="arial" w:cs="arial"/>
          <w:b w:val="0"/>
          <w:i w:val="0"/>
          <w:strike w:val="0"/>
          <w:noProof w:val="0"/>
          <w:color w:val="000000"/>
          <w:position w:val="0"/>
          <w:sz w:val="18"/>
          <w:u w:val="none"/>
          <w:vertAlign w:val="baseline"/>
        </w:rPr>
        <w:t> No.</w:t>
      </w:r>
    </w:p>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Exh. 9 at 144. Because the agent had not received any assurances from </w:t>
      </w:r>
      <w:r>
        <w:rPr>
          <w:rFonts w:ascii="arial" w:eastAsia="arial" w:hAnsi="arial" w:cs="arial"/>
          <w:b w:val="0"/>
          <w:i/>
          <w:strike w:val="0"/>
          <w:noProof w:val="0"/>
          <w:color w:val="000000"/>
          <w:position w:val="0"/>
          <w:sz w:val="18"/>
          <w:u w:val="none"/>
          <w:vertAlign w:val="baseline"/>
        </w:rPr>
        <w:t>anyone</w:t>
      </w:r>
      <w:r>
        <w:rPr>
          <w:rFonts w:ascii="arial" w:eastAsia="arial" w:hAnsi="arial" w:cs="arial"/>
          <w:b w:val="0"/>
          <w:i w:val="0"/>
          <w:strike w:val="0"/>
          <w:noProof w:val="0"/>
          <w:color w:val="000000"/>
          <w:position w:val="0"/>
          <w:sz w:val="18"/>
          <w:u w:val="none"/>
          <w:vertAlign w:val="baseline"/>
        </w:rPr>
        <w:t xml:space="preserve"> — including the informant himself— that the informant's </w:t>
      </w:r>
      <w:r>
        <w:rPr>
          <w:rFonts w:ascii="arial" w:eastAsia="arial" w:hAnsi="arial" w:cs="arial"/>
          <w:b w:val="0"/>
          <w:i/>
          <w:strike w:val="0"/>
          <w:noProof w:val="0"/>
          <w:color w:val="000000"/>
          <w:position w:val="0"/>
          <w:sz w:val="18"/>
          <w:u w:val="none"/>
          <w:vertAlign w:val="baseline"/>
        </w:rPr>
        <w:t>sources</w:t>
      </w:r>
      <w:r>
        <w:rPr>
          <w:rFonts w:ascii="arial" w:eastAsia="arial" w:hAnsi="arial" w:cs="arial"/>
          <w:b w:val="0"/>
          <w:i w:val="0"/>
          <w:strike w:val="0"/>
          <w:noProof w:val="0"/>
          <w:color w:val="000000"/>
          <w:position w:val="0"/>
          <w:sz w:val="18"/>
          <w:u w:val="none"/>
          <w:vertAlign w:val="baseline"/>
        </w:rPr>
        <w:t xml:space="preserve"> were accurate, the Judge correctly disregarded the information from these unknown sources, finding the information to be ``seriously undermined.'' Exhibit 4 at 69.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1 Bender's Immigration Litigation Forms Form 3</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multilevel"/>
    <w:tmpl w:val="00000002"/>
    <w:lvl w:ilvl="0">
      <w:start w:val="1"/>
      <w:numFmt w:val="bullet"/>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3"/>
    <w:multiLevelType w:val="multilevel"/>
    <w:tmpl w:val="00000003"/>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4"/>
    <w:multiLevelType w:val="multilevel"/>
    <w:tmpl w:val="00000004"/>
    <w:lvl w:ilvl="0">
      <w:start w:val="1"/>
      <w:numFmt w:val="bullet"/>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multilevel"/>
    <w:tmpl w:val="00000005"/>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multilevel"/>
    <w:tmpl w:val="00000006"/>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7"/>
    <w:multiLevelType w:val="multilevel"/>
    <w:tmpl w:val="00000007"/>
    <w:lvl w:ilvl="0">
      <w:start w:val="1"/>
      <w:numFmt w:val="bullet"/>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08"/>
    <w:multiLevelType w:val="multilevel"/>
    <w:tmpl w:val="00000008"/>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9"/>
    <w:multiLevelType w:val="multilevel"/>
    <w:tmpl w:val="00000009"/>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A"/>
    <w:multiLevelType w:val="multilevel"/>
    <w:tmpl w:val="0000000A"/>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B"/>
    <w:multiLevelType w:val="multilevel"/>
    <w:tmpl w:val="0000000B"/>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0C"/>
    <w:multiLevelType w:val="multilevel"/>
    <w:tmpl w:val="0000000C"/>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000000D"/>
    <w:multiLevelType w:val="multilevel"/>
    <w:tmpl w:val="0000000D"/>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multilevel"/>
    <w:tmpl w:val="0000000E"/>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0F"/>
    <w:multiLevelType w:val="multilevel"/>
    <w:tmpl w:val="0000000F"/>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10"/>
    <w:multiLevelType w:val="multilevel"/>
    <w:tmpl w:val="00000010"/>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00000011"/>
    <w:multiLevelType w:val="multilevel"/>
    <w:tmpl w:val="00000011"/>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00000012"/>
    <w:multiLevelType w:val="multilevel"/>
    <w:tmpl w:val="00000012"/>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00000013"/>
    <w:multiLevelType w:val="multilevel"/>
    <w:tmpl w:val="00000013"/>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00000014"/>
    <w:multiLevelType w:val="multilevel"/>
    <w:tmpl w:val="00000014"/>
    <w:lvl w:ilvl="0">
      <w:start w:val="1"/>
      <w:numFmt w:val="bullet"/>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00000015"/>
    <w:multiLevelType w:val="multilevel"/>
    <w:tmpl w:val="00000015"/>
    <w:lvl w:ilvl="0">
      <w:start w:val="1"/>
      <w:numFmt w:val="bullet"/>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00000016"/>
    <w:multiLevelType w:val="multilevel"/>
    <w:tmpl w:val="00000016"/>
    <w:lvl w:ilvl="0">
      <w:start w:val="1"/>
      <w:numFmt w:val="decimal"/>
      <w:lvlText w:val="[2]"/>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eastAsia="arial" w:hAnsi="Arial" w:cs="Arial"/>
      <w:b/>
      <w:bCs/>
      <w:kern w:val="32"/>
      <w:sz w:val="32"/>
      <w:szCs w:val="32"/>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header" Target="header4.xml" /><Relationship Id="rId14" Type="http://schemas.openxmlformats.org/officeDocument/2006/relationships/header" Target="header5.xml" /><Relationship Id="rId15" Type="http://schemas.openxmlformats.org/officeDocument/2006/relationships/footer" Target="footer4.xml" /><Relationship Id="rId16" Type="http://schemas.openxmlformats.org/officeDocument/2006/relationships/footer" Target="footer5.xml" /><Relationship Id="rId17" Type="http://schemas.openxmlformats.org/officeDocument/2006/relationships/header" Target="header6.xml" /><Relationship Id="rId18" Type="http://schemas.openxmlformats.org/officeDocument/2006/relationships/footer" Target="footer6.xml" /><Relationship Id="rId19" Type="http://schemas.openxmlformats.org/officeDocument/2006/relationships/hyperlink" Target="https://advance.lexis.com/api/document?collection=analytical-materials&amp;id=urn:contentItem:593R-V3N0-R03M-7251-00000-00&amp;context=" TargetMode="External" /><Relationship Id="rId2" Type="http://schemas.openxmlformats.org/officeDocument/2006/relationships/settings" Target="settings.xml" /><Relationship Id="rId20" Type="http://schemas.openxmlformats.org/officeDocument/2006/relationships/hyperlink" Target="https://advance.lexis.com/api/document?collection=statutes-legislation&amp;id=urn:contentItem:8SG9-5HW2-D6RV-H0V4-00000-00&amp;context=" TargetMode="External" /><Relationship Id="rId21" Type="http://schemas.openxmlformats.org/officeDocument/2006/relationships/hyperlink" Target="https://advance.lexis.com/api/document?collection=statutes-legislation&amp;id=urn:contentItem:8S6M-T0S2-D6RV-H47Y-00000-00&amp;context=" TargetMode="External" /><Relationship Id="rId22" Type="http://schemas.openxmlformats.org/officeDocument/2006/relationships/hyperlink" Target="https://advance.lexis.com/api/document?collection=statutes-legislation&amp;id=urn:contentItem:8S6M-T0S2-D6RV-H482-00000-00&amp;context=" TargetMode="External" /><Relationship Id="rId23" Type="http://schemas.openxmlformats.org/officeDocument/2006/relationships/hyperlink" Target="https://advance.lexis.com/api/document?collection=statutes-legislation&amp;id=urn:contentItem:8S6M-T0S2-D6RV-H46X-00000-00&amp;context=" TargetMode="External" /><Relationship Id="rId24" Type="http://schemas.openxmlformats.org/officeDocument/2006/relationships/hyperlink" Target="https://advance.lexis.com/api/document?collection=cases&amp;id=urn:contentItem:43CJ-1W20-004C-2013-00000-00&amp;context=" TargetMode="External" /><Relationship Id="rId25" Type="http://schemas.openxmlformats.org/officeDocument/2006/relationships/hyperlink" Target="https://advance.lexis.com/api/document?collection=cases&amp;id=urn:contentItem:4F7G-7080-004C-000M-00000-00&amp;context=" TargetMode="External" /><Relationship Id="rId26" Type="http://schemas.openxmlformats.org/officeDocument/2006/relationships/hyperlink" Target="https://advance.lexis.com/api/document?collection=cases&amp;id=urn:contentItem:4013-YGC0-0038-X40P-00000-00&amp;context=" TargetMode="External" /><Relationship Id="rId27" Type="http://schemas.openxmlformats.org/officeDocument/2006/relationships/hyperlink" Target="https://advance.lexis.com/api/document?collection=cases&amp;id=urn:contentItem:42H8-8YJ0-0038-X01S-00000-00&amp;context=" TargetMode="External" /><Relationship Id="rId28" Type="http://schemas.openxmlformats.org/officeDocument/2006/relationships/hyperlink" Target="https://advance.lexis.com/api/document?collection=cases&amp;id=urn:contentItem:3S4X-2JM0-003B-J214-00000-00&amp;context=" TargetMode="External" /><Relationship Id="rId29" Type="http://schemas.openxmlformats.org/officeDocument/2006/relationships/hyperlink" Target="https://advance.lexis.com/api/document?collection=cases&amp;id=urn:contentItem:3S4W-SCH0-003B-J10X-00000-00&amp;context=" TargetMode="External" /><Relationship Id="rId3" Type="http://schemas.openxmlformats.org/officeDocument/2006/relationships/webSettings" Target="webSettings.xml" /><Relationship Id="rId30" Type="http://schemas.openxmlformats.org/officeDocument/2006/relationships/hyperlink" Target="https://advance.lexis.com/api/document?collection=cases&amp;id=urn:contentItem:436N-S480-0038-X18H-00000-00&amp;context=" TargetMode="External" /><Relationship Id="rId31" Type="http://schemas.openxmlformats.org/officeDocument/2006/relationships/hyperlink" Target="https://advance.lexis.com/api/document?collection=cases&amp;id=urn:contentItem:4B8C-H6R0-0038-X4V3-00000-00&amp;context=" TargetMode="External" /><Relationship Id="rId32" Type="http://schemas.openxmlformats.org/officeDocument/2006/relationships/hyperlink" Target="https://advance.lexis.com/api/document?collection=cases&amp;id=urn:contentItem:4B3F-8V60-0038-X2SV-00000-00&amp;context=" TargetMode="External" /><Relationship Id="rId33" Type="http://schemas.openxmlformats.org/officeDocument/2006/relationships/hyperlink" Target="https://advance.lexis.com/api/document?collection=cases&amp;id=urn:contentItem:463N-RP40-0038-X1HP-00000-00&amp;context=" TargetMode="External" /><Relationship Id="rId34" Type="http://schemas.openxmlformats.org/officeDocument/2006/relationships/hyperlink" Target="https://advance.lexis.com/api/document?collection=cases&amp;id=urn:contentItem:48GD-GH80-004C-0012-00000-00&amp;context=" TargetMode="External" /><Relationship Id="rId35" Type="http://schemas.openxmlformats.org/officeDocument/2006/relationships/hyperlink" Target="https://advance.lexis.com/api/document?collection=cases&amp;id=urn:contentItem:4D6X-V0P0-0038-Y0KC-00000-00&amp;context=" TargetMode="External" /><Relationship Id="rId36" Type="http://schemas.openxmlformats.org/officeDocument/2006/relationships/hyperlink" Target="https://advance.lexis.com/api/document?collection=cases&amp;id=urn:contentItem:4D6X-V0P0-0038-Y0KD-00000-00&amp;context=" TargetMode="External" /><Relationship Id="rId37" Type="http://schemas.openxmlformats.org/officeDocument/2006/relationships/hyperlink" Target="https://advance.lexis.com/api/document?collection=cases&amp;id=urn:contentItem:4CPP-32X0-0038-X477-00000-00&amp;context=" TargetMode="External" /><Relationship Id="rId38" Type="http://schemas.openxmlformats.org/officeDocument/2006/relationships/hyperlink" Target="https://advance.lexis.com/api/document?collection=cases&amp;id=urn:contentItem:4JH1-PKK0-0038-X1MK-00000-00&amp;context=" TargetMode="External" /><Relationship Id="rId39" Type="http://schemas.openxmlformats.org/officeDocument/2006/relationships/hyperlink" Target="https://advance.lexis.com/api/document?collection=statutes-legislation&amp;id=urn:contentItem:8T9R-T3X2-8T6X-731X-00000-00&amp;context=" TargetMode="External" /><Relationship Id="rId4" Type="http://schemas.openxmlformats.org/officeDocument/2006/relationships/fontTable" Target="fontTable.xml" /><Relationship Id="rId40" Type="http://schemas.openxmlformats.org/officeDocument/2006/relationships/numbering" Target="numbering.xml" /><Relationship Id="rId41"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hyperlink" Target="https://advance.lexis.com/api/document?id=urn:contentItem:593R-V3N0-R03M-7251-00000-00&amp;idtype=PID&amp;context=1000516" TargetMode="Externa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word/_rels/footnotes.xml.rels>&#65279;<?xml version="1.0" encoding="utf-8" standalone="yes"?><Relationships xmlns="http://schemas.openxmlformats.org/package/2006/relationships"><Relationship Id="rId1" Type="http://schemas.openxmlformats.org/officeDocument/2006/relationships/hyperlink" Target="http://www.ice.gov/graphics/news/newsreleases/" TargetMode="External" /><Relationship Id="rId2" Type="http://schemas.openxmlformats.org/officeDocument/2006/relationships/hyperlink" Target="https://advance.lexis.com/api/document?collection=statutes-legislation&amp;id=urn:contentItem:8SG9-5HW2-D6RV-H0V4-00000-00&amp;context=" TargetMode="External" /><Relationship Id="rId3" Type="http://schemas.openxmlformats.org/officeDocument/2006/relationships/hyperlink" Target="https://advance.lexis.com/api/document?collection=cases&amp;id=urn:contentItem:4B3F-8V60-0038-X2SV-00000-00&amp;context=" TargetMode="External" /><Relationship Id="rId4" Type="http://schemas.openxmlformats.org/officeDocument/2006/relationships/hyperlink" Target="https://advance.lexis.com/api/document?collection=cases&amp;id=urn:contentItem:463N-RP40-0038-X1HP-00000-00&amp;context=" TargetMode="External" /><Relationship Id="rId5" Type="http://schemas.openxmlformats.org/officeDocument/2006/relationships/hyperlink" Target="https://advance.lexis.com/api/document?collection=cases&amp;id=urn:contentItem:48GD-GH80-004C-0012-00000-00&amp;context=" TargetMode="External" /><Relationship Id="rId6" Type="http://schemas.openxmlformats.org/officeDocument/2006/relationships/hyperlink" Target="https://advance.lexis.com/api/document?collection=cases&amp;id=urn:contentItem:4D6X-V0P0-0038-Y0KC-00000-00&amp;context=" TargetMode="External" /><Relationship Id="rId7" Type="http://schemas.openxmlformats.org/officeDocument/2006/relationships/hyperlink" Target="https://advance.lexis.com/api/document?collection=cases&amp;id=urn:contentItem:4D6X-V0P0-0038-Y0KD-00000-00&amp;context="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Bender's Immigration Litigation Forms Form 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104937958</vt:lpwstr>
  </property>
  <property fmtid="{D5CDD505-2E9C-101B-9397-08002B2CF9AE}" pid="3" name="LADocCount">
    <vt:i4>2</vt:i4>
  </property>
  <property fmtid="{D5CDD505-2E9C-101B-9397-08002B2CF9AE}" pid="4" name="UserPermID">
    <vt:lpwstr>urn:user:PA187830213</vt:lpwstr>
  </property>
</Properties>
</file>